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58871" w14:textId="74CA09BD" w:rsidR="00074F9F" w:rsidRPr="008157D1" w:rsidRDefault="00D71AF9" w:rsidP="000678BC">
      <w:pPr>
        <w:pStyle w:val="PlainText"/>
        <w:widowControl/>
        <w:spacing w:before="0" w:after="120"/>
        <w:jc w:val="center"/>
        <w:outlineLvl w:val="0"/>
        <w:rPr>
          <w:rFonts w:ascii="Garamond" w:hAnsi="Garamond"/>
          <w:b/>
          <w:bCs/>
          <w:caps/>
          <w:smallCaps/>
        </w:rPr>
      </w:pPr>
      <w:bookmarkStart w:id="0" w:name="_Hlk14788027"/>
      <w:r>
        <w:rPr>
          <w:rFonts w:ascii="Garamond" w:hAnsi="Garamond"/>
          <w:b/>
          <w:bCs/>
          <w:smallCaps/>
        </w:rPr>
        <w:t>Business Associate Agreement</w:t>
      </w:r>
      <w:bookmarkEnd w:id="0"/>
    </w:p>
    <w:p w14:paraId="06BC087C" w14:textId="09DB739C" w:rsidR="00D80AC4" w:rsidRPr="008157D1" w:rsidRDefault="00150502" w:rsidP="008C588B">
      <w:pPr>
        <w:spacing w:before="240"/>
        <w:rPr>
          <w:rFonts w:ascii="Garamond" w:eastAsia="Roboto" w:hAnsi="Garamond" w:cs="Times New Roman"/>
          <w:sz w:val="20"/>
          <w:szCs w:val="20"/>
        </w:rPr>
      </w:pPr>
      <w:r>
        <w:rPr>
          <w:rFonts w:ascii="Garamond" w:eastAsia="Roboto" w:hAnsi="Garamond" w:cs="Times New Roman"/>
          <w:sz w:val="20"/>
          <w:szCs w:val="20"/>
        </w:rPr>
        <w:t xml:space="preserve">This </w:t>
      </w:r>
      <w:r>
        <w:rPr>
          <w:rFonts w:ascii="Garamond" w:eastAsia="Roboto" w:hAnsi="Garamond" w:cs="Times New Roman"/>
          <w:b/>
          <w:bCs/>
          <w:smallCaps/>
          <w:sz w:val="20"/>
          <w:szCs w:val="20"/>
        </w:rPr>
        <w:t xml:space="preserve">Business Associate Agreement </w:t>
      </w:r>
      <w:r>
        <w:rPr>
          <w:rFonts w:ascii="Garamond" w:eastAsia="Roboto" w:hAnsi="Garamond" w:cs="Times New Roman"/>
          <w:sz w:val="20"/>
          <w:szCs w:val="20"/>
        </w:rPr>
        <w:t xml:space="preserve">(the “</w:t>
      </w:r>
      <w:r>
        <w:rPr>
          <w:rFonts w:ascii="Garamond" w:eastAsia="Roboto" w:hAnsi="Garamond" w:cs="Times New Roman"/>
          <w:b/>
          <w:bCs/>
          <w:sz w:val="20"/>
          <w:szCs w:val="20"/>
        </w:rPr>
        <w:t xml:space="preserve">BAA</w:t>
      </w:r>
      <w:r>
        <w:rPr>
          <w:rFonts w:ascii="Garamond" w:eastAsia="Roboto" w:hAnsi="Garamond" w:cs="Times New Roman"/>
          <w:sz w:val="20"/>
          <w:szCs w:val="20"/>
        </w:rPr>
        <w:t xml:space="preserve">”) is between </w:t>
      </w:r>
      <w:r>
        <w:rPr>
          <w:rFonts w:ascii="Garamond" w:eastAsia="Roboto" w:hAnsi="Garamond" w:cs="Times New Roman"/>
          <w:sz w:val="20"/>
          <w:szCs w:val="20"/>
        </w:rPr>
        <w:t xml:space="preserve">Pharmacore Inc., a Delaware corporation (“</w:t>
      </w:r>
      <w:r>
        <w:rPr>
          <w:rFonts w:ascii="Garamond" w:eastAsia="Roboto" w:hAnsi="Garamond" w:cs="Times New Roman"/>
          <w:b/>
          <w:bCs/>
          <w:sz w:val="20"/>
          <w:szCs w:val="20"/>
        </w:rPr>
        <w:t xml:space="preserve">PHARMACORE</w:t>
      </w:r>
      <w:r>
        <w:rPr>
          <w:rFonts w:ascii="Garamond" w:eastAsia="Roboto" w:hAnsi="Garamond" w:cs="Times New Roman"/>
          <w:sz w:val="20"/>
          <w:szCs w:val="20"/>
        </w:rPr>
        <w:t xml:space="preserve">”), and the customer identified in the applicable Order (“</w:t>
      </w:r>
      <w:r>
        <w:rPr>
          <w:rFonts w:ascii="Garamond" w:eastAsia="Roboto" w:hAnsi="Garamond" w:cs="Times New Roman"/>
          <w:b/>
          <w:bCs/>
          <w:sz w:val="20"/>
          <w:szCs w:val="20"/>
        </w:rPr>
        <w:t xml:space="preserve">Customer</w:t>
      </w:r>
      <w:r>
        <w:rPr>
          <w:rFonts w:ascii="Garamond" w:eastAsia="Roboto" w:hAnsi="Garamond" w:cs="Times New Roman"/>
          <w:sz w:val="20"/>
          <w:szCs w:val="20"/>
          <w:lang w:val="en-GB"/>
        </w:rPr>
        <w:t xml:space="preserve">”).</w:t>
      </w:r>
      <w:r>
        <w:rPr>
          <w:rFonts w:ascii="Garamond" w:eastAsia="Roboto" w:hAnsi="Garamond" w:cs="Times New Roman"/>
          <w:sz w:val="20"/>
          <w:szCs w:val="20"/>
        </w:rPr>
        <w:t xml:space="preserve"> This BAA is incorporated into</w:t>
      </w:r>
      <w:r>
        <w:rPr>
          <w:rFonts w:ascii="Garamond" w:eastAsia="Roboto" w:hAnsi="Garamond" w:cs="Times New Roman"/>
          <w:sz w:val="20"/>
          <w:szCs w:val="20"/>
        </w:rPr>
        <w:t xml:space="preserve">, and is Exhibit A to, PHARMACORE’s SaaS Subscription Terms and Conditions (together with each Order, </w:t>
      </w:r>
      <w:r>
        <w:rPr>
          <w:rFonts w:ascii="Garamond" w:eastAsia="Roboto" w:hAnsi="Garamond" w:cs="Times New Roman"/>
          <w:sz w:val="20"/>
          <w:szCs w:val="20"/>
        </w:rPr>
        <w:t xml:space="preserve">the “</w:t>
      </w:r>
      <w:r>
        <w:rPr>
          <w:rFonts w:ascii="Garamond" w:eastAsia="Roboto" w:hAnsi="Garamond" w:cs="Times New Roman"/>
          <w:b/>
          <w:bCs/>
          <w:sz w:val="20"/>
          <w:szCs w:val="20"/>
        </w:rPr>
        <w:t xml:space="preserve">Agreement</w:t>
      </w:r>
      <w:r>
        <w:rPr>
          <w:rFonts w:ascii="Garamond" w:eastAsia="Roboto" w:hAnsi="Garamond" w:cs="Times New Roman"/>
          <w:sz w:val="20"/>
          <w:szCs w:val="20"/>
        </w:rPr>
        <w:t xml:space="preserve">”). This BAA is effective as of the earlier of: (i) execution of an </w:t>
      </w:r>
      <w:r>
        <w:rPr>
          <w:rFonts w:ascii="Garamond" w:eastAsia="Roboto" w:hAnsi="Garamond" w:cs="Times New Roman"/>
          <w:sz w:val="20"/>
          <w:szCs w:val="20"/>
        </w:rPr>
        <w:t xml:space="preserve">Order</w:t>
      </w:r>
      <w:r>
        <w:rPr>
          <w:rFonts w:ascii="Garamond" w:eastAsia="Roboto" w:hAnsi="Garamond" w:cs="Times New Roman"/>
          <w:sz w:val="20"/>
          <w:szCs w:val="20"/>
        </w:rPr>
        <w:t xml:space="preserve"> incorporating this BAA; or (ii) </w:t>
      </w:r>
      <w:r>
        <w:rPr>
          <w:rFonts w:ascii="Garamond" w:eastAsia="Roboto" w:hAnsi="Garamond" w:cs="Times New Roman"/>
          <w:sz w:val="20"/>
          <w:szCs w:val="20"/>
        </w:rPr>
        <w:t xml:space="preserve">acceptance of this BAA</w:t>
      </w:r>
      <w:r>
        <w:rPr>
          <w:rFonts w:ascii="Garamond" w:eastAsia="Roboto" w:hAnsi="Garamond" w:cs="Times New Roman"/>
          <w:sz w:val="20"/>
          <w:szCs w:val="20"/>
        </w:rPr>
        <w:t xml:space="preserve"> by Customer’s authorized representative in writing or through PHARMACORE’s account-owner enrollment process, and in either case it must be effective before Customer submits any PHI</w:t>
      </w:r>
      <w:r>
        <w:rPr>
          <w:rFonts w:ascii="Garamond" w:eastAsia="Roboto" w:hAnsi="Garamond" w:cs="Times New Roman"/>
          <w:sz w:val="20"/>
          <w:szCs w:val="20"/>
        </w:rPr>
        <w:t xml:space="preserve">. Any capitalized terms not defined herein will have the definition used in the Agreement. The terms of this BAA will control to the extent inconsistent with the Agreement</w:t>
      </w:r>
      <w:r>
        <w:rPr>
          <w:rFonts w:ascii="Garamond" w:eastAsia="Roboto" w:hAnsi="Garamond" w:cs="Times New Roman"/>
          <w:sz w:val="20"/>
          <w:szCs w:val="20"/>
        </w:rPr>
        <w:t xml:space="preserve"> regarding PHI.</w:t>
      </w:r>
    </w:p>
    <w:p w14:paraId="4B6BF6DF" w14:textId="519DFFA9" w:rsidR="00074F9F" w:rsidRPr="008157D1" w:rsidRDefault="00000A35" w:rsidP="00831C1F">
      <w:pPr>
        <w:pStyle w:val="ListParagraph"/>
        <w:numPr>
          <w:ilvl w:val="0"/>
          <w:numId w:val="8"/>
        </w:numPr>
        <w:rPr>
          <w:rFonts w:ascii="Garamond" w:eastAsia="Times New Roman" w:hAnsi="Garamond" w:cs="Times New Roman"/>
          <w:sz w:val="20"/>
          <w:szCs w:val="20"/>
        </w:rPr>
      </w:pPr>
      <w:r>
        <w:rPr>
          <w:rFonts w:ascii="Garamond" w:eastAsia="Times New Roman" w:hAnsi="Garamond" w:cs="Times New Roman"/>
          <w:b/>
          <w:bCs/>
          <w:sz w:val="20"/>
          <w:szCs w:val="20"/>
          <w:u w:val="single"/>
        </w:rPr>
        <w:t xml:space="preserve">DEFINITIONS</w:t>
      </w:r>
      <w:r>
        <w:rPr>
          <w:rFonts w:ascii="Garamond" w:eastAsia="Times New Roman" w:hAnsi="Garamond" w:cs="Times New Roman"/>
          <w:sz w:val="20"/>
          <w:szCs w:val="20"/>
        </w:rPr>
        <w:t xml:space="preserve">. (A) “</w:t>
      </w:r>
      <w:r>
        <w:rPr>
          <w:rFonts w:ascii="Garamond" w:eastAsia="Times New Roman" w:hAnsi="Garamond" w:cs="Times New Roman"/>
          <w:b/>
          <w:bCs/>
          <w:sz w:val="20"/>
          <w:szCs w:val="20"/>
        </w:rPr>
        <w:t xml:space="preserve">Business Associate</w:t>
      </w:r>
      <w:r>
        <w:rPr>
          <w:rFonts w:ascii="Garamond" w:eastAsia="Times New Roman" w:hAnsi="Garamond" w:cs="Times New Roman"/>
          <w:sz w:val="20"/>
          <w:szCs w:val="20"/>
        </w:rPr>
        <w:t xml:space="preserve">”</w:t>
      </w:r>
      <w:r>
        <w:rPr>
          <w:rFonts w:ascii="Garamond" w:eastAsia="Times New Roman" w:hAnsi="Garamond" w:cs="Times New Roman"/>
          <w:sz w:val="20"/>
          <w:szCs w:val="20"/>
        </w:rPr>
        <w:t xml:space="preserve"> shall have the meaning set forth at 45 CFR 160.103, and between the parties, refers to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(B) “</w:t>
      </w:r>
      <w:r>
        <w:rPr>
          <w:rFonts w:ascii="Garamond" w:eastAsia="Times New Roman" w:hAnsi="Garamond" w:cs="Times New Roman"/>
          <w:b/>
          <w:bCs/>
          <w:sz w:val="20"/>
          <w:szCs w:val="20"/>
        </w:rPr>
        <w:t xml:space="preserve">Covered Entity</w:t>
      </w:r>
      <w:r>
        <w:rPr>
          <w:rFonts w:ascii="Garamond" w:eastAsia="Times New Roman" w:hAnsi="Garamond" w:cs="Times New Roman"/>
          <w:sz w:val="20"/>
          <w:szCs w:val="20"/>
        </w:rPr>
        <w:t xml:space="preserve">” shall have the meaning set forth at 45 CFR 160.103, and between the parties, refers to </w:t>
      </w:r>
      <w:r>
        <w:rPr>
          <w:rFonts w:ascii="Garamond" w:eastAsia="Times New Roman" w:hAnsi="Garamond" w:cs="Times New Roman"/>
          <w:sz w:val="20"/>
          <w:szCs w:val="20"/>
        </w:rPr>
        <w:t xml:space="preserve">Customer, except that where Customer is itself a business associate of a covered entity (for example, a consultant pharmacy serving a nursing facility), PHARMACORE is Customer’s Subcontractor, and references in this BAA to Customer’s obligations under the HIPAA Rules (including 45 CFR 164.524, 164.526, and 164.528) refer to the obligations Customer has as that covered entity’s business associate</w:t>
      </w:r>
      <w:r>
        <w:rPr>
          <w:rFonts w:ascii="Garamond" w:eastAsia="Times New Roman" w:hAnsi="Garamond" w:cs="Times New Roman"/>
          <w:sz w:val="20"/>
          <w:szCs w:val="20"/>
        </w:rPr>
        <w:t xml:space="preserve">; (C) “</w:t>
      </w:r>
      <w:r>
        <w:rPr>
          <w:rFonts w:ascii="Garamond" w:eastAsia="Times New Roman" w:hAnsi="Garamond" w:cs="Times New Roman"/>
          <w:b/>
          <w:bCs/>
          <w:sz w:val="20"/>
          <w:szCs w:val="20"/>
        </w:rPr>
        <w:t xml:space="preserve">HIPAA Rules</w:t>
      </w:r>
      <w:r>
        <w:rPr>
          <w:rFonts w:ascii="Garamond" w:eastAsia="Times New Roman" w:hAnsi="Garamond" w:cs="Times New Roman"/>
          <w:sz w:val="20"/>
          <w:szCs w:val="20"/>
        </w:rPr>
        <w:t xml:space="preserve">”</w:t>
      </w:r>
      <w:r>
        <w:rPr>
          <w:rFonts w:ascii="Garamond" w:eastAsia="Times New Roman" w:hAnsi="Garamond" w:cs="Times New Roman"/>
          <w:b/>
          <w:bCs/>
          <w:sz w:val="20"/>
          <w:szCs w:val="20"/>
        </w:rPr>
        <w:t xml:space="preserve"> </w:t>
      </w:r>
      <w:r>
        <w:rPr>
          <w:rFonts w:ascii="Garamond" w:eastAsia="Times New Roman" w:hAnsi="Garamond" w:cs="Times New Roman"/>
          <w:sz w:val="20"/>
          <w:szCs w:val="20"/>
        </w:rPr>
        <w:t xml:space="preserve">means the Privacy, Security, Breach Notification, and Enforcement Rules at 45 CFR Part 160 and Part 164, as amended. The following terms shall have the same meaning as those terms in the HIPAA Rules: Breach, Data Aggregation, Designated Record Set, Disclosure, Health Care Operations, Individual, Minimum Necessary, Notice of Privacy Practices, Protected Health Information (or “</w:t>
      </w:r>
      <w:r>
        <w:rPr>
          <w:rFonts w:ascii="Garamond" w:eastAsia="Times New Roman" w:hAnsi="Garamond" w:cs="Times New Roman"/>
          <w:b/>
          <w:bCs/>
          <w:sz w:val="20"/>
          <w:szCs w:val="20"/>
        </w:rPr>
        <w:t xml:space="preserve">PHI</w:t>
      </w:r>
      <w:r>
        <w:rPr>
          <w:rFonts w:ascii="Garamond" w:eastAsia="Times New Roman" w:hAnsi="Garamond" w:cs="Times New Roman"/>
          <w:sz w:val="20"/>
          <w:szCs w:val="20"/>
        </w:rPr>
        <w:t xml:space="preserve">”), </w:t>
      </w:r>
      <w:r>
        <w:rPr>
          <w:rFonts w:ascii="Garamond" w:eastAsia="Times New Roman" w:hAnsi="Garamond" w:cs="Times New Roman"/>
          <w:sz w:val="20"/>
          <w:szCs w:val="20"/>
        </w:rPr>
        <w:t xml:space="preserve">Required By Law, Secretary, </w:t>
      </w:r>
      <w:r>
        <w:rPr>
          <w:rFonts w:ascii="Garamond" w:eastAsia="Times New Roman" w:hAnsi="Garamond" w:cs="Times New Roman"/>
          <w:sz w:val="20"/>
          <w:szCs w:val="20"/>
        </w:rPr>
        <w:t xml:space="preserve">Security Incident, </w:t>
      </w:r>
      <w:r>
        <w:rPr>
          <w:rFonts w:ascii="Garamond" w:eastAsia="Times New Roman" w:hAnsi="Garamond" w:cs="Times New Roman"/>
          <w:sz w:val="20"/>
          <w:szCs w:val="20"/>
        </w:rPr>
        <w:t xml:space="preserve">Subcontractor, Unsecured Protected Health Information, and Use</w:t>
      </w:r>
      <w:r>
        <w:rPr>
          <w:rFonts w:ascii="Garamond" w:eastAsia="Times New Roman" w:hAnsi="Garamond" w:cs="Times New Roman"/>
          <w:sz w:val="20"/>
          <w:szCs w:val="20"/>
        </w:rPr>
        <w:t xml:space="preserve">.</w:t>
      </w:r>
    </w:p>
    <w:p w14:paraId="75C5B976" w14:textId="31483606" w:rsidR="00B53240" w:rsidRPr="008157D1" w:rsidRDefault="00E72493" w:rsidP="00B53240">
      <w:pPr>
        <w:pStyle w:val="ListParagraph"/>
        <w:numPr>
          <w:ilvl w:val="0"/>
          <w:numId w:val="8"/>
        </w:numPr>
        <w:rPr>
          <w:rFonts w:ascii="Garamond" w:eastAsia="Times New Roman" w:hAnsi="Garamond" w:cs="Times New Roman"/>
          <w:sz w:val="20"/>
          <w:szCs w:val="20"/>
        </w:rPr>
      </w:pPr>
      <w:r>
        <w:rPr>
          <w:rFonts w:ascii="Garamond" w:eastAsia="Times New Roman" w:hAnsi="Garamond" w:cs="Times New Roman"/>
          <w:b/>
          <w:bCs/>
          <w:sz w:val="20"/>
          <w:szCs w:val="20"/>
          <w:u w:val="single"/>
        </w:rPr>
        <w:t xml:space="preserve">SCOPE</w:t>
      </w:r>
      <w:r>
        <w:rPr>
          <w:rFonts w:ascii="Garamond" w:eastAsia="Times New Roman" w:hAnsi="Garamond" w:cs="Times New Roman"/>
          <w:sz w:val="20"/>
          <w:szCs w:val="20"/>
        </w:rPr>
        <w:t xml:space="preserve">. Pursuant to the </w:t>
      </w:r>
      <w:r>
        <w:rPr>
          <w:rFonts w:ascii="Garamond" w:eastAsia="Times New Roman" w:hAnsi="Garamond" w:cs="Times New Roman"/>
          <w:sz w:val="20"/>
          <w:szCs w:val="20"/>
        </w:rPr>
        <w:t xml:space="preserve">Agreement,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provides </w:t>
      </w:r>
      <w:r>
        <w:rPr>
          <w:rFonts w:ascii="Garamond" w:eastAsia="Times New Roman" w:hAnsi="Garamond" w:cs="Times New Roman"/>
          <w:sz w:val="20"/>
          <w:szCs w:val="20"/>
        </w:rPr>
        <w:t xml:space="preserve">cloud-hosted clinical decision support and workflow software for licensed pharmacists</w:t>
      </w:r>
      <w:r>
        <w:rPr>
          <w:rFonts w:ascii="Garamond" w:eastAsia="Times New Roman" w:hAnsi="Garamond" w:cs="Times New Roman"/>
          <w:sz w:val="20"/>
          <w:szCs w:val="20"/>
        </w:rPr>
        <w:t xml:space="preserve">, and </w:t>
      </w:r>
      <w:r>
        <w:rPr>
          <w:rFonts w:ascii="Garamond" w:eastAsia="Times New Roman" w:hAnsi="Garamond" w:cs="Times New Roman"/>
          <w:sz w:val="20"/>
          <w:szCs w:val="20"/>
        </w:rPr>
        <w:t xml:space="preserve">related implementation, training, and support</w:t>
      </w:r>
      <w:r>
        <w:rPr>
          <w:rFonts w:ascii="Garamond" w:eastAsia="Times New Roman" w:hAnsi="Garamond" w:cs="Times New Roman"/>
          <w:sz w:val="20"/>
          <w:szCs w:val="20"/>
        </w:rPr>
        <w:t xml:space="preserve"> services (the “</w:t>
      </w:r>
      <w:r>
        <w:rPr>
          <w:rFonts w:ascii="Garamond" w:eastAsia="Times New Roman" w:hAnsi="Garamond" w:cs="Times New Roman"/>
          <w:b/>
          <w:bCs/>
          <w:sz w:val="20"/>
          <w:szCs w:val="20"/>
        </w:rPr>
        <w:t xml:space="preserve">Services</w:t>
      </w:r>
      <w:r>
        <w:rPr>
          <w:rFonts w:ascii="Garamond" w:eastAsia="Times New Roman" w:hAnsi="Garamond" w:cs="Times New Roman"/>
          <w:sz w:val="20"/>
          <w:szCs w:val="20"/>
        </w:rPr>
        <w:t xml:space="preserve">”). In its performance of the Services, </w:t>
      </w:r>
      <w:r>
        <w:rPr>
          <w:rFonts w:ascii="Garamond" w:eastAsia="Times New Roman" w:hAnsi="Garamond" w:cs="Times New Roman"/>
          <w:sz w:val="20"/>
          <w:szCs w:val="20"/>
        </w:rPr>
        <w:t xml:space="preserve">PHARMACORE may create, receive, maintain, or transmit</w:t>
      </w:r>
      <w:r>
        <w:rPr>
          <w:rFonts w:ascii="Garamond" w:eastAsia="Times New Roman" w:hAnsi="Garamond" w:cs="Times New Roman"/>
          <w:sz w:val="20"/>
          <w:szCs w:val="20"/>
        </w:rPr>
        <w:t xml:space="preserve"> PHI on behalf of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Notwithstanding anything to the contrary herein or in the Agreement, this BAA shall apply, and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shall have obligations hereunder</w:t>
      </w:r>
      <w:r>
        <w:rPr>
          <w:rFonts w:ascii="Garamond" w:eastAsia="Times New Roman" w:hAnsi="Garamond" w:cs="Times New Roman"/>
          <w:sz w:val="20"/>
          <w:szCs w:val="20"/>
        </w:rPr>
        <w:t xml:space="preserve">,</w:t>
      </w:r>
      <w:r>
        <w:rPr>
          <w:rFonts w:ascii="Garamond" w:eastAsia="Times New Roman" w:hAnsi="Garamond" w:cs="Times New Roman"/>
          <w:sz w:val="20"/>
          <w:szCs w:val="20"/>
        </w:rPr>
        <w:t xml:space="preserve"> solely to the extent </w:t>
      </w:r>
      <w:r>
        <w:rPr>
          <w:rFonts w:ascii="Garamond" w:eastAsia="Times New Roman" w:hAnsi="Garamond" w:cs="Times New Roman"/>
          <w:sz w:val="20"/>
          <w:szCs w:val="20"/>
        </w:rPr>
        <w:t xml:space="preserve">PHARMACORE creates, receives, maintains, or transmits</w:t>
      </w:r>
      <w:r>
        <w:rPr>
          <w:rFonts w:ascii="Garamond" w:eastAsia="Times New Roman" w:hAnsi="Garamond" w:cs="Times New Roman"/>
          <w:sz w:val="20"/>
          <w:szCs w:val="20"/>
        </w:rPr>
        <w:t xml:space="preserve"> PHI in connection with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’s provision of the Services</w:t>
      </w:r>
      <w:r>
        <w:rPr>
          <w:rFonts w:ascii="Garamond" w:eastAsia="Times New Roman" w:hAnsi="Garamond" w:cs="Times New Roman"/>
          <w:sz w:val="20"/>
          <w:szCs w:val="20"/>
        </w:rPr>
        <w:t xml:space="preserve">. PHARMACORE is not responsible for a failure to comply with</w:t>
      </w:r>
      <w:r>
        <w:rPr>
          <w:rFonts w:ascii="Garamond" w:eastAsia="Times New Roman" w:hAnsi="Garamond" w:cs="Times New Roman"/>
          <w:sz w:val="20"/>
          <w:szCs w:val="20"/>
        </w:rPr>
        <w:t xml:space="preserve"> this BAA</w:t>
      </w:r>
      <w:r>
        <w:rPr>
          <w:rFonts w:ascii="Garamond" w:eastAsia="Times New Roman" w:hAnsi="Garamond" w:cs="Times New Roman"/>
          <w:sz w:val="20"/>
          <w:szCs w:val="20"/>
        </w:rPr>
        <w:t xml:space="preserve"> to the extent caused by Customer’s failure to comply</w:t>
      </w:r>
      <w:r>
        <w:rPr>
          <w:rFonts w:ascii="Garamond" w:eastAsia="Times New Roman" w:hAnsi="Garamond" w:cs="Times New Roman"/>
          <w:sz w:val="20"/>
          <w:szCs w:val="20"/>
        </w:rPr>
        <w:t xml:space="preserve"> with the Agreement, HIPAA, </w:t>
      </w:r>
      <w:r>
        <w:rPr>
          <w:rFonts w:ascii="Garamond" w:eastAsia="Times New Roman" w:hAnsi="Garamond" w:cs="Times New Roman"/>
          <w:sz w:val="20"/>
          <w:szCs w:val="20"/>
        </w:rPr>
        <w:t xml:space="preserve">or</w:t>
      </w:r>
      <w:r>
        <w:rPr>
          <w:rFonts w:ascii="Garamond" w:eastAsia="Times New Roman" w:hAnsi="Garamond" w:cs="Times New Roman"/>
          <w:sz w:val="20"/>
          <w:szCs w:val="20"/>
        </w:rPr>
        <w:t xml:space="preserve"> this BAA, </w:t>
      </w:r>
      <w:r>
        <w:rPr>
          <w:rFonts w:ascii="Garamond" w:eastAsia="Times New Roman" w:hAnsi="Garamond" w:cs="Times New Roman"/>
          <w:sz w:val="20"/>
          <w:szCs w:val="20"/>
        </w:rPr>
        <w:t xml:space="preserve">or by Customer’s configuration or</w:t>
      </w:r>
      <w:r>
        <w:rPr>
          <w:rFonts w:ascii="Garamond" w:hAnsi="Garamond"/>
          <w:sz w:val="20"/>
          <w:szCs w:val="20"/>
        </w:rPr>
        <w:t xml:space="preserve"> use of the</w:t>
      </w:r>
      <w:r>
        <w:rPr>
          <w:rFonts w:ascii="Garamond" w:hAnsi="Garamond"/>
          <w:sz w:val="20"/>
          <w:szCs w:val="20"/>
        </w:rPr>
        <w:t xml:space="preserve"> Services</w:t>
      </w:r>
      <w:r>
        <w:rPr>
          <w:rFonts w:ascii="Garamond" w:eastAsia="Times New Roman" w:hAnsi="Garamond" w:cs="Times New Roman"/>
          <w:sz w:val="20"/>
          <w:szCs w:val="20"/>
        </w:rPr>
        <w:t xml:space="preserve">. This BAA shall not apply to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’s performance of any other services or processing of any other data on behalf of </w:t>
      </w:r>
      <w:r>
        <w:rPr>
          <w:rFonts w:ascii="Garamond" w:eastAsia="Times New Roman" w:hAnsi="Garamond" w:cs="Times New Roman"/>
          <w:sz w:val="20"/>
          <w:szCs w:val="20"/>
        </w:rPr>
        <w:t xml:space="preserve">Customer. Except as expressly stated in the Agreement (including Schedule 2 of the Terms), PHARMACORE</w:t>
      </w:r>
      <w:r>
        <w:rPr>
          <w:rFonts w:ascii="Garamond" w:eastAsia="Times New Roman" w:hAnsi="Garamond" w:cs="Times New Roman"/>
          <w:sz w:val="20"/>
          <w:szCs w:val="20"/>
        </w:rPr>
        <w:t xml:space="preserve"> does not represent or warrant that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or its other products or services are HIPAA compliant, that it has or will maintain any certifications of any kind, or that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will comply with HIPAA merely because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uses the Services.</w:t>
      </w:r>
    </w:p>
    <w:p w14:paraId="275B26B3" w14:textId="5119B591" w:rsidR="00FB7654" w:rsidRPr="008157D1" w:rsidRDefault="00F943B3" w:rsidP="00FB7654">
      <w:pPr>
        <w:pStyle w:val="ListParagraph"/>
        <w:numPr>
          <w:ilvl w:val="0"/>
          <w:numId w:val="8"/>
        </w:numPr>
        <w:rPr>
          <w:rFonts w:ascii="Garamond" w:eastAsia="Times New Roman" w:hAnsi="Garamond" w:cs="Times New Roman"/>
          <w:sz w:val="20"/>
          <w:szCs w:val="20"/>
        </w:rPr>
      </w:pPr>
      <w:r>
        <w:rPr>
          <w:rFonts w:ascii="Garamond" w:eastAsia="Times New Roman" w:hAnsi="Garamond" w:cs="Times New Roman"/>
          <w:b/>
          <w:bCs/>
          <w:sz w:val="20"/>
          <w:szCs w:val="20"/>
          <w:u w:val="single"/>
        </w:rPr>
        <w:t xml:space="preserve">CUSTOMER</w:t>
      </w:r>
      <w:r>
        <w:rPr>
          <w:rFonts w:ascii="Garamond" w:eastAsia="Times New Roman" w:hAnsi="Garamond" w:cs="Times New Roman"/>
          <w:b/>
          <w:bCs/>
          <w:sz w:val="20"/>
          <w:szCs w:val="20"/>
          <w:u w:val="single"/>
        </w:rPr>
        <w:t xml:space="preserve"> OBLIGATIONS</w:t>
      </w:r>
      <w:r>
        <w:rPr>
          <w:rFonts w:ascii="Garamond" w:eastAsia="Times New Roman" w:hAnsi="Garamond" w:cs="Times New Roman"/>
          <w:sz w:val="20"/>
          <w:szCs w:val="20"/>
        </w:rPr>
        <w:t xml:space="preserve">. Without limiting Section 2,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(A) will comply with the HIPAA Rules; (B) is solely responsible for understanding the scope and characteristics of the Services provided by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assessing relevant risks to PHI arising from Customer’s use of the Services, and ensuring the appropriate mitigation of such risks, including by configuring and using the Services as necessary to maintain compliance with the HIPAA Rules; (C) shall ensure the proper configuration of its own networks, software, and other systems that are used by or on behalf of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to process PHI; </w:t>
      </w:r>
      <w:r>
        <w:rPr>
          <w:rFonts w:ascii="Garamond" w:eastAsia="Times New Roman" w:hAnsi="Garamond" w:cs="Times New Roman"/>
          <w:sz w:val="20"/>
          <w:szCs w:val="20"/>
        </w:rPr>
        <w:t xml:space="preserve">(D) shall</w:t>
      </w:r>
      <w:r>
        <w:rPr>
          <w:rFonts w:ascii="Garamond" w:eastAsia="Times New Roman" w:hAnsi="Garamond" w:cs="Times New Roman"/>
          <w:sz w:val="20"/>
          <w:szCs w:val="20"/>
        </w:rPr>
        <w:t xml:space="preserve"> implement and maintain necessary and appropriate administrative procedures regarding access to PHI, limit such access to only authorized personnel, and terminate access where no longer necessary or appropriate</w:t>
      </w:r>
      <w:r>
        <w:rPr>
          <w:rFonts w:ascii="Garamond" w:eastAsia="Times New Roman" w:hAnsi="Garamond" w:cs="Times New Roman"/>
          <w:sz w:val="20"/>
          <w:szCs w:val="20"/>
        </w:rPr>
        <w:t xml:space="preserve">; (E) if Customer is a business associate of a covered entity, shall maintain a business associate agreement with that covered entity that permits Customer to engage PHARMACORE as its Subcontractor on terms consistent with this BAA, and shall confirm this in writing on request; (F) shall not request that PHARMACORE use or disclose PHI in any manner that would not be permissible under the HIPAA Rules if done by Customer; and (G) shall not submit records subject to 42 CFR Part 2 unless the parties have first agreed in writing how those records will be handled. Customer shall not agree to any restriction on the use or disclosure of PHI, or</w:t>
      </w:r>
      <w:r>
        <w:rPr>
          <w:rFonts w:ascii="Garamond" w:eastAsia="Times New Roman" w:hAnsi="Garamond" w:cs="Times New Roman"/>
          <w:sz w:val="20"/>
          <w:szCs w:val="20"/>
        </w:rPr>
        <w:t xml:space="preserve"> place any limitation</w:t>
      </w:r>
      <w:r>
        <w:rPr>
          <w:rFonts w:ascii="Garamond" w:eastAsia="Times New Roman" w:hAnsi="Garamond" w:cs="Times New Roman"/>
          <w:sz w:val="20"/>
          <w:szCs w:val="20"/>
        </w:rPr>
        <w:t xml:space="preserve"> in its</w:t>
      </w:r>
      <w:r>
        <w:rPr>
          <w:rFonts w:ascii="Garamond" w:eastAsia="Times New Roman" w:hAnsi="Garamond" w:cs="Times New Roman"/>
          <w:sz w:val="20"/>
          <w:szCs w:val="20"/>
        </w:rPr>
        <w:t xml:space="preserve"> notice of privacy practices</w:t>
      </w:r>
      <w:r>
        <w:rPr>
          <w:rFonts w:ascii="Garamond" w:eastAsia="Times New Roman" w:hAnsi="Garamond" w:cs="Times New Roman"/>
          <w:sz w:val="20"/>
          <w:szCs w:val="20"/>
        </w:rPr>
        <w:t xml:space="preserve">,</w:t>
      </w:r>
      <w:r>
        <w:rPr>
          <w:rFonts w:ascii="Garamond" w:eastAsia="Times New Roman" w:hAnsi="Garamond" w:cs="Times New Roman"/>
          <w:sz w:val="20"/>
          <w:szCs w:val="20"/>
        </w:rPr>
        <w:t xml:space="preserve"> that would cause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to breach the HIPAA Rules or this BAA</w:t>
      </w:r>
      <w:r>
        <w:rPr>
          <w:rFonts w:ascii="Garamond" w:eastAsia="Times New Roman" w:hAnsi="Garamond" w:cs="Times New Roman"/>
          <w:sz w:val="20"/>
          <w:szCs w:val="20"/>
        </w:rPr>
        <w:t xml:space="preserve"> or would otherwise affect PHARMACORE’s use or disclosure of PHI under this BAA, without PHARMACORE’s prior written consent</w:t>
      </w:r>
      <w:r>
        <w:rPr>
          <w:rFonts w:ascii="Garamond" w:eastAsia="Times New Roman" w:hAnsi="Garamond" w:cs="Times New Roman"/>
          <w:sz w:val="20"/>
          <w:szCs w:val="20"/>
        </w:rPr>
        <w:t xml:space="preserve">.</w:t>
      </w:r>
    </w:p>
    <w:p w14:paraId="4F162885" w14:textId="6196A069" w:rsidR="00074F9F" w:rsidRPr="008157D1" w:rsidRDefault="00871852" w:rsidP="00FB7654">
      <w:pPr>
        <w:pStyle w:val="ListParagraph"/>
        <w:numPr>
          <w:ilvl w:val="0"/>
          <w:numId w:val="8"/>
        </w:numPr>
        <w:rPr>
          <w:rFonts w:ascii="Garamond" w:eastAsia="Times New Roman" w:hAnsi="Garamond" w:cs="Times New Roman"/>
          <w:sz w:val="20"/>
          <w:szCs w:val="20"/>
        </w:rPr>
      </w:pPr>
      <w:r>
        <w:rPr>
          <w:rFonts w:ascii="Garamond" w:hAnsi="Garamond"/>
          <w:b/>
          <w:bCs/>
          <w:sz w:val="20"/>
          <w:szCs w:val="20"/>
          <w:u w:val="single"/>
        </w:rPr>
        <w:t xml:space="preserve">PHARMACORE</w:t>
      </w:r>
      <w:r>
        <w:rPr>
          <w:rFonts w:ascii="Garamond" w:hAnsi="Garamond"/>
          <w:b/>
          <w:bCs/>
          <w:sz w:val="20"/>
          <w:szCs w:val="20"/>
          <w:u w:val="single"/>
        </w:rPr>
        <w:t xml:space="preserve"> OBLIGATIONS</w:t>
      </w:r>
      <w:r>
        <w:rPr>
          <w:rFonts w:ascii="Garamond" w:hAnsi="Garamond"/>
          <w:sz w:val="20"/>
          <w:szCs w:val="20"/>
        </w:rPr>
        <w:t xml:space="preserve">. Without limiting Section 2, </w:t>
      </w:r>
      <w:r>
        <w:rPr>
          <w:rFonts w:ascii="Garamond" w:hAnsi="Garamond"/>
          <w:sz w:val="20"/>
          <w:szCs w:val="20"/>
        </w:rPr>
        <w:t xml:space="preserve">PHARMACORE</w:t>
      </w:r>
      <w:r>
        <w:rPr>
          <w:rFonts w:ascii="Garamond" w:hAnsi="Garamond"/>
          <w:sz w:val="20"/>
          <w:szCs w:val="20"/>
        </w:rPr>
        <w:t xml:space="preserve"> will: (A) not use or disclose PHI other than as permitted or required </w:t>
      </w:r>
      <w:r>
        <w:rPr>
          <w:rFonts w:ascii="Garamond" w:hAnsi="Garamond"/>
          <w:sz w:val="20"/>
          <w:szCs w:val="20"/>
        </w:rPr>
        <w:t xml:space="preserve">by this BAA or as Required By Law</w:t>
      </w:r>
      <w:r>
        <w:rPr>
          <w:rFonts w:ascii="Garamond" w:hAnsi="Garamond"/>
          <w:sz w:val="20"/>
          <w:szCs w:val="20"/>
        </w:rPr>
        <w:t xml:space="preserve">; (B) use </w:t>
      </w:r>
      <w:r>
        <w:rPr>
          <w:rFonts w:ascii="Garamond" w:hAnsi="Garamond"/>
          <w:sz w:val="20"/>
          <w:szCs w:val="20"/>
        </w:rPr>
        <w:t xml:space="preserve">appropriate safeguards, and comply with Subpart C of 45 CFR Part 164 with respect to electronic PHI,</w:t>
      </w:r>
      <w:r>
        <w:rPr>
          <w:rFonts w:ascii="Garamond" w:hAnsi="Garamond"/>
          <w:sz w:val="20"/>
          <w:szCs w:val="20"/>
        </w:rPr>
        <w:t xml:space="preserve"> to prevent Use or Disclosure of the PHI other than as provided for by </w:t>
      </w:r>
      <w:r>
        <w:rPr>
          <w:rFonts w:ascii="Garamond" w:hAnsi="Garamond"/>
          <w:sz w:val="20"/>
          <w:szCs w:val="20"/>
        </w:rPr>
        <w:t xml:space="preserve">this BAA</w:t>
      </w:r>
      <w:r>
        <w:rPr>
          <w:rFonts w:ascii="Garamond" w:hAnsi="Garamond"/>
          <w:sz w:val="20"/>
          <w:szCs w:val="20"/>
        </w:rPr>
        <w:t xml:space="preserve">; (C) in accordance with 45 CFR 164.502(e)(1)(ii) and 164.308(b)(2), </w:t>
      </w:r>
      <w:r>
        <w:rPr>
          <w:rFonts w:ascii="Garamond" w:hAnsi="Garamond"/>
          <w:sz w:val="20"/>
          <w:szCs w:val="20"/>
        </w:rPr>
        <w:t xml:space="preserve">ensure that any </w:t>
      </w:r>
      <w:r>
        <w:rPr>
          <w:rFonts w:ascii="Garamond" w:hAnsi="Garamond"/>
          <w:sz w:val="20"/>
          <w:szCs w:val="20"/>
        </w:rPr>
        <w:t xml:space="preserve">Subcontractors</w:t>
      </w:r>
      <w:r>
        <w:rPr>
          <w:rFonts w:ascii="Garamond" w:hAnsi="Garamond"/>
          <w:sz w:val="20"/>
          <w:szCs w:val="20"/>
        </w:rPr>
        <w:t xml:space="preserve"> that create, receive, maintain, or transmit PHI on behalf of </w:t>
      </w:r>
      <w:r>
        <w:rPr>
          <w:rFonts w:ascii="Garamond" w:hAnsi="Garamond"/>
          <w:sz w:val="20"/>
          <w:szCs w:val="20"/>
        </w:rPr>
        <w:t xml:space="preserve">PHARMACORE</w:t>
      </w:r>
      <w:r>
        <w:rPr>
          <w:rFonts w:ascii="Garamond" w:hAnsi="Garamond"/>
          <w:sz w:val="20"/>
          <w:szCs w:val="20"/>
        </w:rPr>
        <w:t xml:space="preserve"> agree </w:t>
      </w:r>
      <w:r>
        <w:rPr>
          <w:rFonts w:ascii="Garamond" w:hAnsi="Garamond"/>
          <w:sz w:val="20"/>
          <w:szCs w:val="20"/>
        </w:rPr>
        <w:t xml:space="preserve">in writing to the same restrictions and conditions that apply to PHARMACORE with respect to such information, and keep copies of those agreements on file</w:t>
      </w:r>
      <w:r>
        <w:rPr>
          <w:rFonts w:ascii="Garamond" w:hAnsi="Garamond"/>
          <w:sz w:val="20"/>
          <w:szCs w:val="20"/>
        </w:rPr>
        <w:t xml:space="preserve">; (D) </w:t>
      </w:r>
      <w:r>
        <w:rPr>
          <w:rFonts w:ascii="Garamond" w:hAnsi="Garamond"/>
          <w:sz w:val="20"/>
          <w:szCs w:val="20"/>
        </w:rPr>
        <w:t xml:space="preserve">within ten (10) business days after Customer’s request</w:t>
      </w:r>
      <w:r>
        <w:rPr>
          <w:rFonts w:ascii="Garamond" w:hAnsi="Garamond"/>
          <w:sz w:val="20"/>
          <w:szCs w:val="20"/>
        </w:rPr>
        <w:t xml:space="preserve">, make available PHI in a </w:t>
      </w:r>
      <w:r>
        <w:rPr>
          <w:rFonts w:ascii="Garamond" w:hAnsi="Garamond"/>
          <w:sz w:val="20"/>
          <w:szCs w:val="20"/>
        </w:rPr>
        <w:t xml:space="preserve">Designated Record Set to Customer</w:t>
      </w:r>
      <w:r>
        <w:rPr>
          <w:rFonts w:ascii="Garamond" w:hAnsi="Garamond"/>
          <w:sz w:val="20"/>
          <w:szCs w:val="20"/>
        </w:rPr>
        <w:t xml:space="preserve"> as necessary to satisfy </w:t>
      </w:r>
      <w:r>
        <w:rPr>
          <w:rFonts w:ascii="Garamond" w:hAnsi="Garamond"/>
          <w:sz w:val="20"/>
          <w:szCs w:val="20"/>
        </w:rPr>
        <w:t xml:space="preserve">Customer’s</w:t>
      </w:r>
      <w:r>
        <w:rPr>
          <w:rFonts w:ascii="Garamond" w:hAnsi="Garamond"/>
          <w:sz w:val="20"/>
          <w:szCs w:val="20"/>
        </w:rPr>
        <w:t xml:space="preserve"> obligations under 45 CFR 164.524</w:t>
      </w:r>
      <w:r>
        <w:rPr>
          <w:rFonts w:ascii="Garamond" w:hAnsi="Garamond"/>
          <w:sz w:val="20"/>
          <w:szCs w:val="20"/>
        </w:rPr>
        <w:t xml:space="preserve">, in addition to the export features of the Services, which Customer may use during the term, the Transition Period, and (subject to Section 19 of the Terms) any suspension</w:t>
      </w:r>
      <w:r>
        <w:rPr>
          <w:rFonts w:ascii="Garamond" w:hAnsi="Garamond"/>
          <w:sz w:val="20"/>
          <w:szCs w:val="20"/>
        </w:rPr>
        <w:t xml:space="preserve">; (E) </w:t>
      </w:r>
      <w:r>
        <w:rPr>
          <w:rFonts w:ascii="Garamond" w:hAnsi="Garamond"/>
          <w:sz w:val="20"/>
          <w:szCs w:val="20"/>
        </w:rPr>
        <w:t xml:space="preserve">within ten (10) business days after Customer’s request</w:t>
      </w:r>
      <w:r>
        <w:rPr>
          <w:rFonts w:ascii="Garamond" w:hAnsi="Garamond"/>
          <w:sz w:val="20"/>
          <w:szCs w:val="20"/>
        </w:rPr>
        <w:t xml:space="preserve">, make any amendment(s) to PHI in a </w:t>
      </w:r>
      <w:r>
        <w:rPr>
          <w:rFonts w:ascii="Garamond" w:hAnsi="Garamond"/>
          <w:sz w:val="20"/>
          <w:szCs w:val="20"/>
        </w:rPr>
        <w:t xml:space="preserve">Designated Record Set</w:t>
      </w:r>
      <w:r>
        <w:rPr>
          <w:rFonts w:ascii="Garamond" w:hAnsi="Garamond"/>
          <w:sz w:val="20"/>
          <w:szCs w:val="20"/>
        </w:rPr>
        <w:t xml:space="preserve"> as directed or agreed to by </w:t>
      </w:r>
      <w:r>
        <w:rPr>
          <w:rFonts w:ascii="Garamond" w:hAnsi="Garamond"/>
          <w:sz w:val="20"/>
          <w:szCs w:val="20"/>
        </w:rPr>
        <w:t xml:space="preserve">Customer</w:t>
      </w:r>
      <w:r>
        <w:rPr>
          <w:rFonts w:ascii="Garamond" w:hAnsi="Garamond"/>
          <w:sz w:val="20"/>
          <w:szCs w:val="20"/>
        </w:rPr>
        <w:t xml:space="preserve"> pursuant to 45 CFR 164.526, or take other measures as necessary to satisfy </w:t>
      </w:r>
      <w:r>
        <w:rPr>
          <w:rFonts w:ascii="Garamond" w:hAnsi="Garamond"/>
          <w:sz w:val="20"/>
          <w:szCs w:val="20"/>
        </w:rPr>
        <w:t xml:space="preserve">Customer</w:t>
      </w:r>
      <w:r>
        <w:rPr>
          <w:rFonts w:ascii="Garamond" w:hAnsi="Garamond"/>
          <w:sz w:val="20"/>
          <w:szCs w:val="20"/>
        </w:rPr>
        <w:t xml:space="preserve">’s obligations under 45 CFR 164.526; (F) maintain, and </w:t>
      </w:r>
      <w:r>
        <w:rPr>
          <w:rFonts w:ascii="Garamond" w:hAnsi="Garamond"/>
          <w:sz w:val="20"/>
          <w:szCs w:val="20"/>
        </w:rPr>
        <w:t xml:space="preserve">within ten (10) business days after Customer’s request</w:t>
      </w:r>
      <w:r>
        <w:rPr>
          <w:rFonts w:ascii="Garamond" w:hAnsi="Garamond"/>
          <w:sz w:val="20"/>
          <w:szCs w:val="20"/>
        </w:rPr>
        <w:t xml:space="preserve"> make available</w:t>
      </w:r>
      <w:r>
        <w:rPr>
          <w:rFonts w:ascii="Garamond" w:hAnsi="Garamond"/>
          <w:sz w:val="20"/>
          <w:szCs w:val="20"/>
        </w:rPr>
        <w:t xml:space="preserve">,</w:t>
      </w:r>
      <w:r>
        <w:rPr>
          <w:rFonts w:ascii="Garamond" w:hAnsi="Garamond"/>
          <w:sz w:val="20"/>
          <w:szCs w:val="20"/>
        </w:rPr>
        <w:t xml:space="preserve"> the information required to provide an accounting of disclosures to </w:t>
      </w:r>
      <w:r>
        <w:rPr>
          <w:rFonts w:ascii="Garamond" w:hAnsi="Garamond"/>
          <w:sz w:val="20"/>
          <w:szCs w:val="20"/>
        </w:rPr>
        <w:t xml:space="preserve">Customer</w:t>
      </w:r>
      <w:r>
        <w:rPr>
          <w:rFonts w:ascii="Garamond" w:hAnsi="Garamond"/>
          <w:sz w:val="20"/>
          <w:szCs w:val="20"/>
        </w:rPr>
        <w:t xml:space="preserve"> as necessary to satisfy </w:t>
      </w:r>
      <w:r>
        <w:rPr>
          <w:rFonts w:ascii="Garamond" w:hAnsi="Garamond"/>
          <w:sz w:val="20"/>
          <w:szCs w:val="20"/>
        </w:rPr>
        <w:t xml:space="preserve">Customer</w:t>
      </w:r>
      <w:r>
        <w:rPr>
          <w:rFonts w:ascii="Garamond" w:hAnsi="Garamond"/>
          <w:sz w:val="20"/>
          <w:szCs w:val="20"/>
        </w:rPr>
        <w:t xml:space="preserve">’s obligations under 45 CFR 164.528; </w:t>
      </w:r>
      <w:r>
        <w:rPr>
          <w:rFonts w:ascii="Garamond" w:hAnsi="Garamond"/>
          <w:sz w:val="20"/>
          <w:szCs w:val="20"/>
        </w:rPr>
        <w:t xml:space="preserve">(G) to the extent PHARMACORE carries out one or more of Customer’s obligations under Subpart E of 45 CFR Part 164, comply with the requirements of Subpart E that apply to Customer in the performance of such obligation(s); (H) limit its uses and disclosures of, and requests for, PHI to the Minimum Necessary; </w:t>
      </w:r>
      <w:r>
        <w:rPr>
          <w:rFonts w:ascii="Garamond" w:hAnsi="Garamond"/>
          <w:sz w:val="20"/>
          <w:szCs w:val="20"/>
        </w:rPr>
        <w:t xml:space="preserve">and (</w:t>
      </w:r>
      <w:r>
        <w:rPr>
          <w:rFonts w:ascii="Garamond" w:hAnsi="Garamond"/>
          <w:sz w:val="20"/>
          <w:szCs w:val="20"/>
        </w:rPr>
        <w:t xml:space="preserve">I</w:t>
      </w:r>
      <w:r>
        <w:rPr>
          <w:rFonts w:ascii="Garamond" w:hAnsi="Garamond"/>
          <w:sz w:val="20"/>
          <w:szCs w:val="20"/>
        </w:rPr>
        <w:t xml:space="preserve">) make its internal practices, books, and records available to the Secretary for purposes of determining compliance with the HIPAA Rules.</w:t>
      </w:r>
    </w:p>
    <w:p w14:paraId="037F4041" w14:textId="04F7CA35" w:rsidR="00181587" w:rsidRPr="008157D1" w:rsidRDefault="00181587" w:rsidP="00530AB9">
      <w:pPr>
        <w:pStyle w:val="ListParagraph"/>
        <w:numPr>
          <w:ilvl w:val="0"/>
          <w:numId w:val="8"/>
        </w:numPr>
        <w:rPr>
          <w:rFonts w:ascii="Garamond" w:eastAsia="Times New Roman" w:hAnsi="Garamond" w:cs="Times New Roman"/>
          <w:sz w:val="20"/>
          <w:szCs w:val="20"/>
        </w:rPr>
      </w:pPr>
      <w:r>
        <w:rPr>
          <w:rFonts w:ascii="Garamond" w:eastAsia="Times New Roman" w:hAnsi="Garamond" w:cs="Times New Roman"/>
          <w:b/>
          <w:bCs/>
          <w:sz w:val="20"/>
          <w:szCs w:val="20"/>
          <w:u w:val="single"/>
        </w:rPr>
        <w:t xml:space="preserve">PERMITTED USES AND DISCLOSURES</w:t>
      </w:r>
      <w:r>
        <w:rPr>
          <w:rFonts w:ascii="Garamond" w:eastAsia="Times New Roman" w:hAnsi="Garamond" w:cs="Times New Roman"/>
          <w:sz w:val="20"/>
          <w:szCs w:val="20"/>
        </w:rPr>
        <w:t xml:space="preserve">.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may: (A) use or disclose PHI as necessary to perform the Services, any of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’s obligations under the Agreement, or as otherwise agreed in writing between the parties; (B) use PHI for the proper management and administration of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and to carry out the legal </w:t>
      </w:r>
      <w:r>
        <w:rPr>
          <w:rFonts w:ascii="Garamond" w:eastAsia="Times New Roman" w:hAnsi="Garamond" w:cs="Times New Roman"/>
          <w:sz w:val="20"/>
          <w:szCs w:val="20"/>
        </w:rPr>
        <w:t xml:space="preserve">responsibilities of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(C) disclose PHI </w:t>
      </w:r>
      <w:r>
        <w:rPr>
          <w:rFonts w:ascii="Garamond" w:eastAsia="Times New Roman" w:hAnsi="Garamond" w:cs="Times New Roman"/>
          <w:sz w:val="20"/>
          <w:szCs w:val="20"/>
        </w:rPr>
        <w:t xml:space="preserve">for the proper management and administration of PHARMACORE or to carry out its legal responsibilities, </w:t>
      </w:r>
      <w:r>
        <w:rPr>
          <w:rFonts w:ascii="Garamond" w:eastAsia="Times New Roman" w:hAnsi="Garamond" w:cs="Times New Roman"/>
          <w:sz w:val="20"/>
          <w:szCs w:val="20"/>
        </w:rPr>
        <w:t xml:space="preserve">provided such</w:t>
      </w:r>
      <w:r>
        <w:rPr>
          <w:rFonts w:ascii="Garamond" w:eastAsia="Times New Roman" w:hAnsi="Garamond" w:cs="Times New Roman"/>
          <w:sz w:val="20"/>
          <w:szCs w:val="20"/>
        </w:rPr>
        <w:t xml:space="preserve"> disclosures are </w:t>
      </w:r>
      <w:r>
        <w:rPr>
          <w:rFonts w:ascii="Garamond" w:eastAsia="Times New Roman" w:hAnsi="Garamond" w:cs="Times New Roman"/>
          <w:sz w:val="20"/>
          <w:szCs w:val="20"/>
        </w:rPr>
        <w:t xml:space="preserve">Required By Law, or PHARMACORE</w:t>
      </w:r>
      <w:r>
        <w:rPr>
          <w:rFonts w:ascii="Garamond" w:eastAsia="Times New Roman" w:hAnsi="Garamond" w:cs="Times New Roman"/>
          <w:sz w:val="20"/>
          <w:szCs w:val="20"/>
        </w:rPr>
        <w:t xml:space="preserve"> obtains reasonable assurances from the person to whom the information is disclosed that the information will remain confidential and used or further disclosed only as </w:t>
      </w:r>
      <w:r>
        <w:rPr>
          <w:rFonts w:ascii="Garamond" w:eastAsia="Times New Roman" w:hAnsi="Garamond" w:cs="Times New Roman"/>
          <w:sz w:val="20"/>
          <w:szCs w:val="20"/>
        </w:rPr>
        <w:t xml:space="preserve">Required By Law</w:t>
      </w:r>
      <w:r>
        <w:rPr>
          <w:rFonts w:ascii="Garamond" w:eastAsia="Times New Roman" w:hAnsi="Garamond" w:cs="Times New Roman"/>
          <w:sz w:val="20"/>
          <w:szCs w:val="20"/>
        </w:rPr>
        <w:t xml:space="preserve"> or for the purposes for which it was disclosed to the person, and the person notifies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of any instances of which it is aware in which the confidentiality of the information has been breached; (D) use or disclose PHI as </w:t>
      </w:r>
      <w:r>
        <w:rPr>
          <w:rFonts w:ascii="Garamond" w:eastAsia="Times New Roman" w:hAnsi="Garamond" w:cs="Times New Roman"/>
          <w:sz w:val="20"/>
          <w:szCs w:val="20"/>
        </w:rPr>
        <w:t xml:space="preserve">Required By Law</w:t>
      </w:r>
      <w:r>
        <w:rPr>
          <w:rFonts w:ascii="Garamond" w:eastAsia="Times New Roman" w:hAnsi="Garamond" w:cs="Times New Roman"/>
          <w:sz w:val="20"/>
          <w:szCs w:val="20"/>
        </w:rPr>
        <w:t xml:space="preserve">; and (E) </w:t>
      </w:r>
      <w:r>
        <w:rPr>
          <w:rFonts w:ascii="Garamond" w:hAnsi="Garamond"/>
          <w:sz w:val="20"/>
          <w:szCs w:val="20"/>
        </w:rPr>
        <w:t xml:space="preserve">de-identify PHI in accordance with 45 CFR 164.514(a)-(c)</w:t>
      </w:r>
      <w:r>
        <w:rPr>
          <w:rFonts w:ascii="Garamond" w:eastAsia="Times New Roman" w:hAnsi="Garamond" w:cs="Times New Roman"/>
          <w:sz w:val="20"/>
          <w:szCs w:val="20"/>
        </w:rPr>
        <w:t xml:space="preserve">, to the extent permitted by any business associate agreement under which Customer received the PHI,</w:t>
      </w:r>
      <w:r>
        <w:rPr>
          <w:rFonts w:ascii="Garamond" w:hAnsi="Garamond"/>
          <w:sz w:val="20"/>
          <w:szCs w:val="20"/>
        </w:rPr>
        <w:t xml:space="preserve"> and use</w:t>
      </w:r>
      <w:r>
        <w:rPr>
          <w:rFonts w:ascii="Garamond" w:hAnsi="Garamond"/>
          <w:sz w:val="20"/>
          <w:szCs w:val="20"/>
        </w:rPr>
        <w:t xml:space="preserve"> and otherwise process such </w:t>
      </w:r>
      <w:r>
        <w:rPr>
          <w:rFonts w:ascii="Garamond" w:eastAsia="Times New Roman" w:hAnsi="Garamond" w:cs="Times New Roman"/>
          <w:sz w:val="20"/>
          <w:szCs w:val="20"/>
        </w:rPr>
        <w:t xml:space="preserve">de-identified </w:t>
      </w:r>
      <w:r>
        <w:rPr>
          <w:rFonts w:ascii="Garamond" w:hAnsi="Garamond"/>
          <w:sz w:val="20"/>
          <w:szCs w:val="20"/>
        </w:rPr>
        <w:t xml:space="preserve">information for </w:t>
      </w:r>
      <w:r>
        <w:rPr>
          <w:rFonts w:ascii="Garamond" w:hAnsi="Garamond"/>
          <w:sz w:val="20"/>
          <w:szCs w:val="20"/>
        </w:rPr>
        <w:t xml:space="preserve">PHARMACORE</w:t>
      </w:r>
      <w:r>
        <w:rPr>
          <w:rFonts w:ascii="Garamond" w:hAnsi="Garamond"/>
          <w:sz w:val="20"/>
          <w:szCs w:val="20"/>
        </w:rPr>
        <w:t xml:space="preserve">’s own internal use, including without limitation for the purpose of product and service improvement</w:t>
      </w:r>
      <w:r>
        <w:rPr>
          <w:rFonts w:ascii="Garamond" w:hAnsi="Garamond"/>
          <w:sz w:val="20"/>
          <w:szCs w:val="20"/>
        </w:rPr>
        <w:t xml:space="preserve"> and data analysis</w:t>
      </w:r>
      <w:r>
        <w:rPr>
          <w:rFonts w:ascii="Garamond" w:hAnsi="Garamond"/>
          <w:sz w:val="20"/>
          <w:szCs w:val="20"/>
        </w:rPr>
        <w:t xml:space="preserve">, and disclose it only as Section 6.3 of the Terms permits. PHARMACORE will not use or disclose PHI in a manner that would violate Subpart E of 45 CFR Part 164 if done by Customer, except for the uses and disclosures permitted by Sections 5(B) and 5(C). PHARMACORE will not sell PHI, use or disclose PHI for marketing, or use PHI to train, fine-tune, or evaluate artificial intelligence models except as Section 6.2 of the Terms permits.</w:t>
      </w:r>
    </w:p>
    <w:p w14:paraId="6F075D96" w14:textId="3C194619" w:rsidR="00855F19" w:rsidRPr="008157D1" w:rsidRDefault="00E72493" w:rsidP="003114AE">
      <w:pPr>
        <w:pStyle w:val="ListParagraph"/>
        <w:numPr>
          <w:ilvl w:val="0"/>
          <w:numId w:val="8"/>
        </w:numPr>
        <w:rPr>
          <w:rFonts w:ascii="Garamond" w:eastAsia="Times New Roman" w:hAnsi="Garamond" w:cs="Times New Roman"/>
          <w:sz w:val="20"/>
          <w:szCs w:val="20"/>
        </w:rPr>
      </w:pPr>
      <w:r>
        <w:rPr>
          <w:rFonts w:ascii="Garamond" w:eastAsia="Times New Roman" w:hAnsi="Garamond" w:cs="Times New Roman"/>
          <w:b/>
          <w:bCs/>
          <w:sz w:val="20"/>
          <w:szCs w:val="20"/>
          <w:u w:val="single"/>
        </w:rPr>
        <w:t xml:space="preserve">INDIVIDUAL </w:t>
      </w:r>
      <w:r>
        <w:rPr>
          <w:rFonts w:ascii="Garamond" w:eastAsia="Times New Roman" w:hAnsi="Garamond" w:cs="Times New Roman"/>
          <w:b/>
          <w:bCs/>
          <w:sz w:val="20"/>
          <w:szCs w:val="20"/>
          <w:u w:val="single"/>
        </w:rPr>
        <w:t xml:space="preserve">RIGHTS REQUESTS</w:t>
      </w:r>
      <w:r>
        <w:rPr>
          <w:rFonts w:ascii="Garamond" w:eastAsia="Times New Roman" w:hAnsi="Garamond" w:cs="Times New Roman"/>
          <w:sz w:val="20"/>
          <w:szCs w:val="20"/>
        </w:rPr>
        <w:t xml:space="preserve">. Customer</w:t>
      </w:r>
      <w:r>
        <w:rPr>
          <w:rFonts w:ascii="Garamond" w:eastAsia="Times New Roman" w:hAnsi="Garamond" w:cs="Times New Roman"/>
          <w:sz w:val="20"/>
          <w:szCs w:val="20"/>
        </w:rPr>
        <w:t xml:space="preserve"> shall notify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of any changes in, or revocation of, the permission by an </w:t>
      </w:r>
      <w:r>
        <w:rPr>
          <w:rFonts w:ascii="Garamond" w:eastAsia="Times New Roman" w:hAnsi="Garamond" w:cs="Times New Roman"/>
          <w:sz w:val="20"/>
          <w:szCs w:val="20"/>
        </w:rPr>
        <w:t xml:space="preserve">Individual</w:t>
      </w:r>
      <w:r>
        <w:rPr>
          <w:rFonts w:ascii="Garamond" w:eastAsia="Times New Roman" w:hAnsi="Garamond" w:cs="Times New Roman"/>
          <w:sz w:val="20"/>
          <w:szCs w:val="20"/>
        </w:rPr>
        <w:t xml:space="preserve"> to use or disclose his or her PHI, to the extent that such changes may affect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’s use or disclosure of PHI. Except for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’s obligations in Section 4,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shall have the sole responsibility for providing any response to an Individual’s request for access to PHI or a </w:t>
      </w:r>
      <w:r>
        <w:rPr>
          <w:rFonts w:ascii="Garamond" w:eastAsia="Times New Roman" w:hAnsi="Garamond" w:cs="Times New Roman"/>
          <w:sz w:val="20"/>
          <w:szCs w:val="20"/>
        </w:rPr>
        <w:t xml:space="preserve">Designated Record Set</w:t>
      </w:r>
      <w:r>
        <w:rPr>
          <w:rFonts w:ascii="Garamond" w:eastAsia="Times New Roman" w:hAnsi="Garamond" w:cs="Times New Roman"/>
          <w:sz w:val="20"/>
          <w:szCs w:val="20"/>
        </w:rPr>
        <w:t xml:space="preserve">, amendments of PHI, or</w:t>
      </w:r>
      <w:r>
        <w:rPr>
          <w:rFonts w:ascii="Garamond" w:eastAsia="Times New Roman" w:hAnsi="Garamond" w:cs="Times New Roman"/>
          <w:sz w:val="20"/>
          <w:szCs w:val="20"/>
        </w:rPr>
        <w:t xml:space="preserve"> an</w:t>
      </w:r>
      <w:r>
        <w:rPr>
          <w:rFonts w:ascii="Garamond" w:eastAsia="Times New Roman" w:hAnsi="Garamond" w:cs="Times New Roman"/>
          <w:sz w:val="20"/>
          <w:szCs w:val="20"/>
        </w:rPr>
        <w:t xml:space="preserve"> accounting of disclosures. In the event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receives a request from an Individual,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shall, without unreasonable delay </w:t>
      </w:r>
      <w:r>
        <w:rPr>
          <w:rFonts w:ascii="Garamond" w:eastAsia="Times New Roman" w:hAnsi="Garamond" w:cs="Times New Roman"/>
          <w:sz w:val="20"/>
          <w:szCs w:val="20"/>
        </w:rPr>
        <w:t xml:space="preserve">and within five (5) business days, </w:t>
      </w:r>
      <w:r>
        <w:rPr>
          <w:rFonts w:ascii="Garamond" w:eastAsia="Times New Roman" w:hAnsi="Garamond" w:cs="Times New Roman"/>
          <w:sz w:val="20"/>
          <w:szCs w:val="20"/>
        </w:rPr>
        <w:t xml:space="preserve">forward such request to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so that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may fulfill its obligations under the HIPAA Rules. </w:t>
      </w:r>
      <w:r>
        <w:rPr>
          <w:rFonts w:ascii="Garamond" w:eastAsia="Times New Roman" w:hAnsi="Garamond" w:cs="Times New Roman"/>
          <w:sz w:val="20"/>
          <w:szCs w:val="20"/>
        </w:rPr>
        <w:t xml:space="preserve">PHARMACORE may charge Customer its reasonable costs, at rates agreed in advance, for assistance</w:t>
      </w:r>
      <w:r>
        <w:rPr>
          <w:rFonts w:ascii="Garamond" w:eastAsia="Times New Roman" w:hAnsi="Garamond" w:cs="Times New Roman"/>
          <w:sz w:val="20"/>
          <w:szCs w:val="20"/>
        </w:rPr>
        <w:t xml:space="preserve"> under this Section 6</w:t>
      </w:r>
      <w:r>
        <w:rPr>
          <w:rFonts w:ascii="Garamond" w:eastAsia="Times New Roman" w:hAnsi="Garamond" w:cs="Times New Roman"/>
          <w:sz w:val="20"/>
          <w:szCs w:val="20"/>
        </w:rPr>
        <w:t xml:space="preserve"> or Section 4(D)–(F) that goes beyond the self-service features of the Services, but will not delay or condition that assistance, or Customer’s access to PHI, on payment</w:t>
      </w:r>
      <w:r>
        <w:rPr>
          <w:rFonts w:ascii="Garamond" w:eastAsia="Times New Roman" w:hAnsi="Garamond" w:cs="Times New Roman"/>
          <w:sz w:val="20"/>
          <w:szCs w:val="20"/>
        </w:rPr>
        <w:t xml:space="preserve">.</w:t>
      </w:r>
    </w:p>
    <w:p w14:paraId="26C718C8" w14:textId="545557E0" w:rsidR="00DF0BEA" w:rsidRPr="008157D1" w:rsidRDefault="006F3F5E" w:rsidP="00F27C89">
      <w:pPr>
        <w:pStyle w:val="ListParagraph"/>
        <w:keepNext/>
        <w:numPr>
          <w:ilvl w:val="0"/>
          <w:numId w:val="8"/>
        </w:numPr>
        <w:rPr>
          <w:rFonts w:ascii="Garamond" w:hAnsi="Garamond" w:cs="Times New Roman"/>
          <w:sz w:val="20"/>
          <w:szCs w:val="20"/>
        </w:rPr>
      </w:pPr>
      <w:r>
        <w:rPr>
          <w:rFonts w:ascii="Garamond" w:eastAsia="Times New Roman" w:hAnsi="Garamond" w:cs="Times New Roman"/>
          <w:b/>
          <w:bCs/>
          <w:sz w:val="20"/>
          <w:szCs w:val="20"/>
          <w:u w:val="single"/>
        </w:rPr>
        <w:t xml:space="preserve">SECURITY INCIDENTS</w:t>
      </w:r>
      <w:r>
        <w:rPr>
          <w:rFonts w:ascii="Garamond" w:eastAsia="Times New Roman" w:hAnsi="Garamond" w:cs="Times New Roman"/>
          <w:b/>
          <w:bCs/>
          <w:sz w:val="20"/>
          <w:szCs w:val="20"/>
          <w:u w:val="single"/>
        </w:rPr>
        <w:t xml:space="preserve"> AND BREACHES</w:t>
      </w:r>
      <w:r>
        <w:rPr>
          <w:rFonts w:ascii="Garamond" w:eastAsia="Times New Roman" w:hAnsi="Garamond" w:cs="Times New Roman"/>
          <w:sz w:val="20"/>
          <w:szCs w:val="20"/>
        </w:rPr>
        <w:t xml:space="preserve">. PHARMACORE</w:t>
      </w:r>
      <w:r>
        <w:rPr>
          <w:rFonts w:ascii="Garamond" w:hAnsi="Garamond" w:cs="Times New Roman"/>
          <w:sz w:val="20"/>
          <w:szCs w:val="20"/>
        </w:rPr>
        <w:t xml:space="preserve"> shall, without unreasonable delay (and within 60 days of discovery)</w:t>
      </w:r>
      <w:r>
        <w:rPr>
          <w:rFonts w:ascii="Garamond" w:eastAsia="Times New Roman" w:hAnsi="Garamond" w:cs="Times New Roman"/>
          <w:sz w:val="20"/>
          <w:szCs w:val="20"/>
        </w:rPr>
        <w:t xml:space="preserve">,</w:t>
      </w:r>
      <w:r>
        <w:rPr>
          <w:rFonts w:ascii="Garamond" w:hAnsi="Garamond" w:cs="Times New Roman"/>
          <w:sz w:val="20"/>
          <w:szCs w:val="20"/>
        </w:rPr>
        <w:t xml:space="preserve"> report to </w:t>
      </w:r>
      <w:r>
        <w:rPr>
          <w:rFonts w:ascii="Garamond" w:hAnsi="Garamond" w:cs="Times New Roman"/>
          <w:sz w:val="20"/>
          <w:szCs w:val="20"/>
        </w:rPr>
        <w:t xml:space="preserve">Customer any Use or Disclosure of PHI not provided for by this BAA</w:t>
      </w:r>
      <w:r>
        <w:rPr>
          <w:rFonts w:ascii="Garamond" w:hAnsi="Garamond" w:cs="Times New Roman"/>
          <w:sz w:val="20"/>
          <w:szCs w:val="20"/>
        </w:rPr>
        <w:t xml:space="preserve">, any confirmed Security Incident, and any confirmed Breach</w:t>
      </w:r>
      <w:r>
        <w:rPr>
          <w:rFonts w:ascii="Garamond" w:eastAsia="Times New Roman" w:hAnsi="Garamond" w:cs="Times New Roman"/>
          <w:sz w:val="20"/>
          <w:szCs w:val="20"/>
        </w:rPr>
        <w:t xml:space="preserve"> of Unsecured Protected Health Information</w:t>
      </w:r>
      <w:r>
        <w:rPr>
          <w:rFonts w:ascii="Garamond" w:hAnsi="Garamond" w:cs="Times New Roman"/>
          <w:sz w:val="20"/>
          <w:szCs w:val="20"/>
        </w:rPr>
        <w:t xml:space="preserve"> (as required at 45 CFR 164.410) of which it becomes aware. </w:t>
      </w:r>
      <w:r>
        <w:rPr>
          <w:rFonts w:ascii="Garamond" w:hAnsi="Garamond" w:cs="Times New Roman"/>
          <w:sz w:val="20"/>
          <w:szCs w:val="20"/>
        </w:rPr>
        <w:t xml:space="preserve">Each of these is treated as discovered on the first day on which it is known to PHARMACORE or, by exercising reasonable diligence, would have been known to PHARMACORE. If a business associate agreement under which Customer received the PHI requires a shorter reporting period, Customer may notify PHARMACORE in writing, and the parties will agree in good faith on a corresponding period. This Section is notice of the ongoing existence of attempted but unsuccessful Security Incidents (such as pings, port scans, blocked denial-of-service attempts, and unsuccessful log-on attempts) that do not result in unauthorized access, Use, Disclosure, modification, or destruction of PHI or interference with system operations, and no further notice of them is required. PHARMACORE</w:t>
      </w:r>
      <w:r>
        <w:rPr>
          <w:rFonts w:ascii="Garamond" w:hAnsi="Garamond" w:cs="Times New Roman"/>
          <w:sz w:val="20"/>
          <w:szCs w:val="20"/>
        </w:rPr>
        <w:t xml:space="preserve"> shall provide </w:t>
      </w:r>
      <w:r>
        <w:rPr>
          <w:rFonts w:ascii="Garamond" w:hAnsi="Garamond" w:cs="Times New Roman"/>
          <w:sz w:val="20"/>
          <w:szCs w:val="20"/>
        </w:rPr>
        <w:t xml:space="preserve">Customer with the information described in 45 CFR 164.410(c), to the extent available, and any other</w:t>
      </w:r>
      <w:r>
        <w:rPr>
          <w:rFonts w:ascii="Garamond" w:hAnsi="Garamond" w:cs="Times New Roman"/>
          <w:sz w:val="20"/>
          <w:szCs w:val="20"/>
        </w:rPr>
        <w:t xml:space="preserve"> relevant information </w:t>
      </w:r>
      <w:r>
        <w:rPr>
          <w:rFonts w:ascii="Garamond" w:eastAsia="Times New Roman" w:hAnsi="Garamond" w:cs="Times New Roman"/>
          <w:sz w:val="20"/>
          <w:szCs w:val="20"/>
        </w:rPr>
        <w:t xml:space="preserve">reasonably requested </w:t>
      </w:r>
      <w:r>
        <w:rPr>
          <w:rFonts w:ascii="Garamond" w:hAnsi="Garamond" w:cs="Times New Roman"/>
          <w:sz w:val="20"/>
          <w:szCs w:val="20"/>
        </w:rPr>
        <w:t xml:space="preserve">to permit </w:t>
      </w:r>
      <w:r>
        <w:rPr>
          <w:rFonts w:ascii="Garamond" w:hAnsi="Garamond" w:cs="Times New Roman"/>
          <w:sz w:val="20"/>
          <w:szCs w:val="20"/>
        </w:rPr>
        <w:t xml:space="preserve">Customer</w:t>
      </w:r>
      <w:r>
        <w:rPr>
          <w:rFonts w:ascii="Garamond" w:hAnsi="Garamond" w:cs="Times New Roman"/>
          <w:sz w:val="20"/>
          <w:szCs w:val="20"/>
        </w:rPr>
        <w:t xml:space="preserve"> to comply with the notification requirements set forth at 45 C.F.R. §164.400 et seq. </w:t>
      </w:r>
      <w:r>
        <w:rPr>
          <w:rFonts w:ascii="Garamond" w:hAnsi="Garamond" w:cs="Times New Roman"/>
          <w:sz w:val="20"/>
          <w:szCs w:val="20"/>
        </w:rPr>
        <w:t xml:space="preserve">PHARMACORE</w:t>
      </w:r>
      <w:r>
        <w:rPr>
          <w:rFonts w:ascii="Garamond" w:hAnsi="Garamond" w:cs="Times New Roman"/>
          <w:sz w:val="20"/>
          <w:szCs w:val="20"/>
        </w:rPr>
        <w:t xml:space="preserve"> shall take corrective action and will use commercially reasonable efforts to mitigate and cure, to the extent reasonably necessary, harmful effects resulting from a Breach that are known to or anticipated by </w:t>
      </w:r>
      <w:r>
        <w:rPr>
          <w:rFonts w:ascii="Garamond" w:hAnsi="Garamond" w:cs="Times New Roman"/>
          <w:sz w:val="20"/>
          <w:szCs w:val="20"/>
        </w:rPr>
        <w:t xml:space="preserve">PHARMACORE. Customer shall</w:t>
      </w:r>
      <w:r>
        <w:rPr>
          <w:rFonts w:ascii="Garamond" w:hAnsi="Garamond" w:cs="Times New Roman"/>
          <w:sz w:val="20"/>
          <w:szCs w:val="20"/>
        </w:rPr>
        <w:t xml:space="preserve"> provide all necessary notifications of the Breach to Individuals</w:t>
      </w:r>
      <w:r>
        <w:rPr>
          <w:rFonts w:ascii="Garamond" w:hAnsi="Garamond" w:cs="Times New Roman"/>
          <w:sz w:val="20"/>
          <w:szCs w:val="20"/>
        </w:rPr>
        <w:t xml:space="preserve"> and/or other persons or entities</w:t>
      </w:r>
      <w:r>
        <w:rPr>
          <w:rFonts w:ascii="Garamond" w:hAnsi="Garamond" w:cs="Times New Roman"/>
          <w:sz w:val="20"/>
          <w:szCs w:val="20"/>
        </w:rPr>
        <w:t xml:space="preserve">, at its cost; where the Breach resulted from PHARMACORE’s breach of this BAA or the Agreement, Customer may recover those costs from PHARMACORE as damages, subject to Section 17 of the Terms.</w:t>
      </w:r>
    </w:p>
    <w:p w14:paraId="0E205E3A" w14:textId="3A540767" w:rsidR="000514A7" w:rsidRPr="008157D1" w:rsidRDefault="00000A35" w:rsidP="00B5442E">
      <w:pPr>
        <w:pStyle w:val="ListParagraph"/>
        <w:numPr>
          <w:ilvl w:val="0"/>
          <w:numId w:val="8"/>
        </w:numPr>
        <w:rPr>
          <w:rFonts w:ascii="Garamond" w:eastAsia="Times New Roman" w:hAnsi="Garamond" w:cs="Times New Roman"/>
          <w:sz w:val="20"/>
          <w:szCs w:val="20"/>
        </w:rPr>
      </w:pPr>
      <w:r>
        <w:rPr>
          <w:rFonts w:ascii="Garamond" w:eastAsia="Times New Roman" w:hAnsi="Garamond" w:cs="Times New Roman"/>
          <w:b/>
          <w:bCs/>
          <w:sz w:val="20"/>
          <w:szCs w:val="20"/>
          <w:u w:val="single"/>
        </w:rPr>
        <w:t xml:space="preserve">TERM AND TERMINATION</w:t>
      </w:r>
      <w:r>
        <w:rPr>
          <w:rFonts w:ascii="Garamond" w:eastAsia="Times New Roman" w:hAnsi="Garamond" w:cs="Times New Roman"/>
          <w:sz w:val="20"/>
          <w:szCs w:val="20"/>
        </w:rPr>
        <w:t xml:space="preserve">. Unless terminated sooner for cause as set out in this Section 8, the </w:t>
      </w:r>
      <w:r>
        <w:rPr>
          <w:rFonts w:ascii="Garamond" w:eastAsia="Times New Roman" w:hAnsi="Garamond" w:cs="Times New Roman"/>
          <w:sz w:val="20"/>
          <w:szCs w:val="20"/>
        </w:rPr>
        <w:t xml:space="preserve">term</w:t>
      </w:r>
      <w:r>
        <w:rPr>
          <w:rFonts w:ascii="Garamond" w:eastAsia="Times New Roman" w:hAnsi="Garamond" w:cs="Times New Roman"/>
          <w:sz w:val="20"/>
          <w:szCs w:val="20"/>
        </w:rPr>
        <w:t xml:space="preserve"> of this BAA shall begin on </w:t>
      </w:r>
      <w:r>
        <w:rPr>
          <w:rFonts w:ascii="Garamond" w:eastAsia="Times New Roman" w:hAnsi="Garamond" w:cs="Times New Roman"/>
          <w:sz w:val="20"/>
          <w:szCs w:val="20"/>
        </w:rPr>
        <w:t xml:space="preserve">its effective date</w:t>
      </w:r>
      <w:r>
        <w:rPr>
          <w:rFonts w:ascii="Garamond" w:eastAsia="Times New Roman" w:hAnsi="Garamond" w:cs="Times New Roman"/>
          <w:sz w:val="20"/>
          <w:szCs w:val="20"/>
        </w:rPr>
        <w:t xml:space="preserve"> and shall terminate upon the later of (i) the termination of </w:t>
      </w:r>
      <w:r>
        <w:rPr>
          <w:rFonts w:ascii="Garamond" w:eastAsia="Times New Roman" w:hAnsi="Garamond" w:cs="Times New Roman"/>
          <w:sz w:val="20"/>
          <w:szCs w:val="20"/>
        </w:rPr>
        <w:t xml:space="preserve">the Agreement</w:t>
      </w:r>
      <w:r>
        <w:rPr>
          <w:rFonts w:ascii="Garamond" w:eastAsia="Times New Roman" w:hAnsi="Garamond" w:cs="Times New Roman"/>
          <w:sz w:val="20"/>
          <w:szCs w:val="20"/>
        </w:rPr>
        <w:t xml:space="preserve">, or (ii) when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ceases to have access to or otherwise process any PHI received from, or created, received, maintained or transmitted by or on behalf of</w:t>
      </w:r>
      <w:r>
        <w:rPr>
          <w:rFonts w:ascii="Garamond" w:eastAsia="Times New Roman" w:hAnsi="Garamond" w:cs="Times New Roman"/>
          <w:sz w:val="20"/>
          <w:szCs w:val="20"/>
        </w:rPr>
        <w:t xml:space="preserve">, Customer. Customer</w:t>
      </w:r>
      <w:r>
        <w:rPr>
          <w:rFonts w:ascii="Garamond" w:eastAsia="Times New Roman" w:hAnsi="Garamond" w:cs="Times New Roman"/>
          <w:sz w:val="20"/>
          <w:szCs w:val="20"/>
        </w:rPr>
        <w:t xml:space="preserve"> may terminate this BAA </w:t>
      </w:r>
      <w:r>
        <w:rPr>
          <w:rFonts w:ascii="Garamond" w:eastAsia="Times New Roman" w:hAnsi="Garamond" w:cs="Times New Roman"/>
          <w:sz w:val="20"/>
          <w:szCs w:val="20"/>
        </w:rPr>
        <w:t xml:space="preserve">and the affected Services if PHARMACORE</w:t>
      </w:r>
      <w:r>
        <w:rPr>
          <w:rFonts w:ascii="Garamond" w:eastAsia="Times New Roman" w:hAnsi="Garamond" w:cs="Times New Roman"/>
          <w:sz w:val="20"/>
          <w:szCs w:val="20"/>
        </w:rPr>
        <w:t xml:space="preserve"> violates a material term of </w:t>
      </w:r>
      <w:r>
        <w:rPr>
          <w:rFonts w:ascii="Garamond" w:eastAsia="Times New Roman" w:hAnsi="Garamond" w:cs="Times New Roman"/>
          <w:sz w:val="20"/>
          <w:szCs w:val="20"/>
        </w:rPr>
        <w:t xml:space="preserve">this</w:t>
      </w:r>
      <w:r>
        <w:rPr>
          <w:rFonts w:ascii="Garamond" w:eastAsia="Times New Roman" w:hAnsi="Garamond" w:cs="Times New Roman"/>
          <w:sz w:val="20"/>
          <w:szCs w:val="20"/>
        </w:rPr>
        <w:t xml:space="preserve"> BAA, and such violation is not cured within </w:t>
      </w:r>
      <w:r>
        <w:rPr>
          <w:rFonts w:ascii="Garamond" w:eastAsia="Times New Roman" w:hAnsi="Garamond" w:cs="Times New Roman"/>
          <w:sz w:val="20"/>
          <w:szCs w:val="20"/>
        </w:rPr>
        <w:t xml:space="preserve">30</w:t>
      </w:r>
      <w:r>
        <w:rPr>
          <w:rFonts w:ascii="Garamond" w:eastAsia="Times New Roman" w:hAnsi="Garamond" w:cs="Times New Roman"/>
          <w:sz w:val="20"/>
          <w:szCs w:val="20"/>
        </w:rPr>
        <w:t xml:space="preserve"> days from the date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provides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written notice of such </w:t>
      </w:r>
      <w:r>
        <w:rPr>
          <w:rFonts w:ascii="Garamond" w:eastAsia="Times New Roman" w:hAnsi="Garamond" w:cs="Times New Roman"/>
          <w:sz w:val="20"/>
          <w:szCs w:val="20"/>
        </w:rPr>
        <w:t xml:space="preserve">violation</w:t>
      </w:r>
      <w:r>
        <w:rPr>
          <w:rFonts w:ascii="Garamond" w:eastAsia="Times New Roman" w:hAnsi="Garamond" w:cs="Times New Roman"/>
          <w:sz w:val="20"/>
          <w:szCs w:val="20"/>
        </w:rPr>
        <w:t xml:space="preserve">. Upon </w:t>
      </w:r>
      <w:r>
        <w:rPr>
          <w:rFonts w:ascii="Garamond" w:eastAsia="Times New Roman" w:hAnsi="Garamond" w:cs="Times New Roman"/>
          <w:sz w:val="20"/>
          <w:szCs w:val="20"/>
        </w:rPr>
        <w:t xml:space="preserve">expiration or </w:t>
      </w:r>
      <w:r>
        <w:rPr>
          <w:rFonts w:ascii="Garamond" w:eastAsia="Times New Roman" w:hAnsi="Garamond" w:cs="Times New Roman"/>
          <w:sz w:val="20"/>
          <w:szCs w:val="20"/>
        </w:rPr>
        <w:t xml:space="preserve">termination of</w:t>
      </w:r>
      <w:r>
        <w:rPr>
          <w:rFonts w:ascii="Garamond" w:eastAsia="Times New Roman" w:hAnsi="Garamond" w:cs="Times New Roman"/>
          <w:sz w:val="20"/>
          <w:szCs w:val="20"/>
        </w:rPr>
        <w:t xml:space="preserve"> the Agreement or</w:t>
      </w:r>
      <w:r>
        <w:rPr>
          <w:rFonts w:ascii="Garamond" w:eastAsia="Times New Roman" w:hAnsi="Garamond" w:cs="Times New Roman"/>
          <w:sz w:val="20"/>
          <w:szCs w:val="20"/>
        </w:rPr>
        <w:t xml:space="preserve"> this BAA for any reason,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with respect to PHI received from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or created, maintained, or received by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on behalf of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shall: (A) </w:t>
      </w:r>
      <w:r>
        <w:rPr>
          <w:rFonts w:ascii="Garamond" w:eastAsia="Times New Roman" w:hAnsi="Garamond" w:cs="Times New Roman"/>
          <w:sz w:val="20"/>
          <w:szCs w:val="20"/>
        </w:rPr>
        <w:t xml:space="preserve">make the PHI available to Customer for export during the Transition Period described in Section 18 of the Terms</w:t>
      </w:r>
      <w:r>
        <w:rPr>
          <w:rFonts w:ascii="Garamond" w:eastAsia="Times New Roman" w:hAnsi="Garamond" w:cs="Times New Roman"/>
          <w:sz w:val="20"/>
          <w:szCs w:val="20"/>
        </w:rPr>
        <w:t xml:space="preserve">; (B) </w:t>
      </w:r>
      <w:r>
        <w:rPr>
          <w:rFonts w:ascii="Garamond" w:eastAsia="Times New Roman" w:hAnsi="Garamond" w:cs="Times New Roman"/>
          <w:sz w:val="20"/>
          <w:szCs w:val="20"/>
        </w:rPr>
        <w:t xml:space="preserve">thereafter</w:t>
      </w:r>
      <w:r>
        <w:rPr>
          <w:rFonts w:ascii="Garamond" w:eastAsia="Times New Roman" w:hAnsi="Garamond" w:cs="Times New Roman"/>
          <w:sz w:val="20"/>
          <w:szCs w:val="20"/>
        </w:rPr>
        <w:t xml:space="preserve"> return to </w:t>
      </w:r>
      <w:r>
        <w:rPr>
          <w:rFonts w:ascii="Garamond" w:eastAsia="Times New Roman" w:hAnsi="Garamond" w:cs="Times New Roman"/>
          <w:sz w:val="20"/>
          <w:szCs w:val="20"/>
        </w:rPr>
        <w:t xml:space="preserve">Customer</w:t>
      </w:r>
      <w:r>
        <w:rPr>
          <w:rFonts w:ascii="Garamond" w:eastAsia="Times New Roman" w:hAnsi="Garamond" w:cs="Times New Roman"/>
          <w:sz w:val="20"/>
          <w:szCs w:val="20"/>
        </w:rPr>
        <w:t xml:space="preserve"> or destroy the PHI that </w:t>
      </w:r>
      <w:r>
        <w:rPr>
          <w:rFonts w:ascii="Garamond" w:eastAsia="Times New Roman" w:hAnsi="Garamond" w:cs="Times New Roman"/>
          <w:sz w:val="20"/>
          <w:szCs w:val="20"/>
        </w:rPr>
        <w:t xml:space="preserve">PHARMACORE and its Subcontractors maintain, within the time stated in Section 18 of the Terms, retaining only PHI that is Required By Law to be retained, that is contained in audit logs PHARMACORE retains as HIPAA compliance documentation, or that is otherwise infeasible to return or destroy</w:t>
      </w:r>
      <w:r>
        <w:rPr>
          <w:rFonts w:ascii="Garamond" w:eastAsia="Times New Roman" w:hAnsi="Garamond" w:cs="Times New Roman"/>
          <w:sz w:val="20"/>
          <w:szCs w:val="20"/>
        </w:rPr>
        <w:t xml:space="preserve">; (C) continue to use appropriate safeguards and comply with Subpart C of 45 CFR Part 164 with respect to electronic PHI to prevent </w:t>
      </w:r>
      <w:r>
        <w:rPr>
          <w:rFonts w:ascii="Garamond" w:eastAsia="Times New Roman" w:hAnsi="Garamond" w:cs="Times New Roman"/>
          <w:sz w:val="20"/>
          <w:szCs w:val="20"/>
        </w:rPr>
        <w:t xml:space="preserve">Use or Disclosure</w:t>
      </w:r>
      <w:r>
        <w:rPr>
          <w:rFonts w:ascii="Garamond" w:eastAsia="Times New Roman" w:hAnsi="Garamond" w:cs="Times New Roman"/>
          <w:sz w:val="20"/>
          <w:szCs w:val="20"/>
        </w:rPr>
        <w:t xml:space="preserve"> of the PHI, other than as provided for in this Section, for as long as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retains the PHI; and (D) not use or disclose the PHI retained by </w:t>
      </w:r>
      <w:r>
        <w:rPr>
          <w:rFonts w:ascii="Garamond" w:eastAsia="Times New Roman" w:hAnsi="Garamond" w:cs="Times New Roman"/>
          <w:sz w:val="20"/>
          <w:szCs w:val="20"/>
        </w:rPr>
        <w:t xml:space="preserve">PHARMACORE</w:t>
      </w:r>
      <w:r>
        <w:rPr>
          <w:rFonts w:ascii="Garamond" w:eastAsia="Times New Roman" w:hAnsi="Garamond" w:cs="Times New Roman"/>
          <w:sz w:val="20"/>
          <w:szCs w:val="20"/>
        </w:rPr>
        <w:t xml:space="preserve"> other than for the purposes for which such PHI was retained and subject to the same conditions set out herein that applied prior to termination</w:t>
      </w:r>
      <w:r>
        <w:rPr>
          <w:rFonts w:ascii="Garamond" w:eastAsia="Times New Roman" w:hAnsi="Garamond" w:cs="Times New Roman"/>
          <w:sz w:val="20"/>
          <w:szCs w:val="20"/>
        </w:rPr>
        <w:t xml:space="preserve">, and destroy it when those purposes end</w:t>
      </w:r>
      <w:r>
        <w:rPr>
          <w:rFonts w:ascii="Garamond" w:eastAsia="Times New Roman" w:hAnsi="Garamond" w:cs="Times New Roman"/>
          <w:sz w:val="20"/>
          <w:szCs w:val="20"/>
        </w:rPr>
        <w:t xml:space="preserve">.</w:t>
      </w:r>
    </w:p>
    <w:p w14:paraId="3B351933" w14:textId="3623D078" w:rsidR="004C7060" w:rsidRPr="008157D1" w:rsidRDefault="00000A35" w:rsidP="0001490D">
      <w:pPr>
        <w:pStyle w:val="ListParagraph"/>
        <w:keepNext/>
        <w:numPr>
          <w:ilvl w:val="0"/>
          <w:numId w:val="8"/>
        </w:numPr>
        <w:rPr>
          <w:rFonts w:ascii="Garamond" w:eastAsia="Times New Roman" w:hAnsi="Garamond" w:cs="Times New Roman"/>
          <w:b/>
          <w:bCs/>
          <w:sz w:val="20"/>
          <w:szCs w:val="20"/>
          <w:u w:val="single"/>
        </w:rPr>
      </w:pPr>
      <w:r>
        <w:rPr>
          <w:rFonts w:ascii="Garamond" w:eastAsia="Times New Roman" w:hAnsi="Garamond" w:cs="Times New Roman"/>
          <w:b/>
          <w:bCs/>
          <w:sz w:val="20"/>
          <w:szCs w:val="20"/>
          <w:u w:val="single"/>
        </w:rPr>
        <w:t xml:space="preserve">MISCELLANEOUS</w:t>
      </w:r>
      <w:r>
        <w:rPr>
          <w:rFonts w:ascii="Garamond" w:eastAsia="Times New Roman" w:hAnsi="Garamond" w:cs="Times New Roman"/>
          <w:sz w:val="20"/>
          <w:szCs w:val="20"/>
        </w:rPr>
        <w:t xml:space="preserve">.</w:t>
      </w:r>
      <w:r>
        <w:rPr>
          <w:rFonts w:ascii="Garamond" w:eastAsia="Times New Roman" w:hAnsi="Garamond" w:cs="Times New Roman"/>
          <w:sz w:val="20"/>
          <w:szCs w:val="20"/>
        </w:rPr>
        <w:t xml:space="preserve"> The provisions of this BAA shall prevail over the provisions of any other prior </w:t>
      </w:r>
      <w:r>
        <w:rPr>
          <w:rFonts w:ascii="Garamond" w:eastAsia="Times New Roman" w:hAnsi="Garamond" w:cs="Times New Roman"/>
          <w:sz w:val="20"/>
          <w:szCs w:val="20"/>
        </w:rPr>
        <w:t xml:space="preserve">agreement</w:t>
      </w:r>
      <w:r>
        <w:rPr>
          <w:rFonts w:ascii="Garamond" w:eastAsia="Times New Roman" w:hAnsi="Garamond" w:cs="Times New Roman"/>
          <w:sz w:val="20"/>
          <w:szCs w:val="20"/>
        </w:rPr>
        <w:t xml:space="preserve"> that exists between the </w:t>
      </w:r>
      <w:r>
        <w:rPr>
          <w:rFonts w:ascii="Garamond" w:eastAsia="Times New Roman" w:hAnsi="Garamond" w:cs="Times New Roman"/>
          <w:sz w:val="20"/>
          <w:szCs w:val="20"/>
        </w:rPr>
        <w:t xml:space="preserve">parties</w:t>
      </w:r>
      <w:r>
        <w:rPr>
          <w:rFonts w:ascii="Garamond" w:eastAsia="Times New Roman" w:hAnsi="Garamond" w:cs="Times New Roman"/>
          <w:sz w:val="20"/>
          <w:szCs w:val="20"/>
        </w:rPr>
        <w:t xml:space="preserve"> that may conflict with, or appear inconsistent with, any provision of this BAA or HIPAA, unless otherwise explicitly set forth in such </w:t>
      </w:r>
      <w:r>
        <w:rPr>
          <w:rFonts w:ascii="Garamond" w:eastAsia="Times New Roman" w:hAnsi="Garamond" w:cs="Times New Roman"/>
          <w:sz w:val="20"/>
          <w:szCs w:val="20"/>
        </w:rPr>
        <w:t xml:space="preserve">agreement. A reference in this BAA to a section in the HIPAA Rules means the section as in effect or as amended, and any ambiguity in this BAA shall be interpreted to permit compliance with the HIPAA Rules. The parties will amend this BAA as necessary to comply with changes in the HIPAA Rules. The version of this BAA in effect when Customer accepts it governs until the parties agree otherwise in writing or an amendment is required for compliance with the HIPAA Rules</w:t>
      </w:r>
      <w:r>
        <w:rPr>
          <w:rFonts w:ascii="Garamond" w:eastAsia="Times New Roman" w:hAnsi="Garamond" w:cs="Times New Roman"/>
          <w:sz w:val="20"/>
          <w:szCs w:val="20"/>
        </w:rPr>
        <w:t xml:space="preserve">. </w:t>
      </w:r>
      <w:r>
        <w:rPr>
          <w:rFonts w:ascii="Garamond" w:hAnsi="Garamond" w:cs="Times New Roman"/>
          <w:snapToGrid w:val="0"/>
          <w:sz w:val="20"/>
          <w:szCs w:val="20"/>
        </w:rPr>
        <w:t xml:space="preserve">The relationship between </w:t>
      </w:r>
      <w:r>
        <w:rPr>
          <w:rFonts w:ascii="Garamond" w:hAnsi="Garamond" w:cs="Times New Roman"/>
          <w:snapToGrid w:val="0"/>
          <w:sz w:val="20"/>
          <w:szCs w:val="20"/>
        </w:rPr>
        <w:t xml:space="preserve">PHARMACORE and Customer</w:t>
      </w:r>
      <w:r>
        <w:rPr>
          <w:rFonts w:ascii="Garamond" w:hAnsi="Garamond" w:cs="Times New Roman"/>
          <w:snapToGrid w:val="0"/>
          <w:sz w:val="20"/>
          <w:szCs w:val="20"/>
        </w:rPr>
        <w:t xml:space="preserve"> is an independent contractor relationship. This BAA shall not be construed to create an agency, partnership, employer/employee, master/servant or joint venture relationship between the parties. </w:t>
      </w:r>
      <w:r>
        <w:rPr>
          <w:rFonts w:ascii="Garamond" w:hAnsi="Garamond" w:cs="Times New Roman"/>
          <w:sz w:val="20"/>
          <w:szCs w:val="20"/>
        </w:rPr>
        <w:t xml:space="preserve">The invalidity or unenforceability of any particular provision of this BAA shall not affect the other provisions hereof, and this BAA shall be construed in all respects as if such invalid or unenforceable provisions were omitted. Nothing express or implied in this BAA is intended to confer, nor shall anything herein confer, upon any person other than the </w:t>
      </w:r>
      <w:r>
        <w:rPr>
          <w:rFonts w:ascii="Garamond" w:hAnsi="Garamond" w:cs="Times New Roman"/>
          <w:sz w:val="20"/>
          <w:szCs w:val="20"/>
        </w:rPr>
        <w:t xml:space="preserve">parties</w:t>
      </w:r>
      <w:r>
        <w:rPr>
          <w:rFonts w:ascii="Garamond" w:hAnsi="Garamond" w:cs="Times New Roman"/>
          <w:sz w:val="20"/>
          <w:szCs w:val="20"/>
        </w:rPr>
        <w:t xml:space="preserve"> hereto and their respective successors and permitted assigns, any rights, remedies, obligations, or liabilities whatsoever. Except as expressly stated herein, this BAA shall not modify the </w:t>
      </w:r>
      <w:r>
        <w:rPr>
          <w:rFonts w:ascii="Garamond" w:hAnsi="Garamond" w:cs="Times New Roman"/>
          <w:sz w:val="20"/>
          <w:szCs w:val="20"/>
        </w:rPr>
        <w:t xml:space="preserve">limitations of liability</w:t>
      </w:r>
      <w:r>
        <w:rPr>
          <w:rFonts w:ascii="Garamond" w:hAnsi="Garamond" w:cs="Times New Roman"/>
          <w:sz w:val="20"/>
          <w:szCs w:val="20"/>
        </w:rPr>
        <w:t xml:space="preserve">, indemnification clauses, warranties offered or disclaimed, or other terms and conditions of the Agreement. </w:t>
      </w:r>
      <w:r>
        <w:rPr>
          <w:rFonts w:ascii="Garamond" w:eastAsia="Times New Roman" w:hAnsi="Garamond" w:cs="Times New Roman"/>
          <w:sz w:val="20"/>
          <w:szCs w:val="20"/>
        </w:rPr>
        <w:t xml:space="preserve">This BAA is governed by the law that governs the Agreement. </w:t>
      </w:r>
      <w:r>
        <w:rPr>
          <w:rFonts w:ascii="Garamond" w:hAnsi="Garamond" w:cs="Times New Roman"/>
          <w:sz w:val="20"/>
          <w:szCs w:val="20"/>
        </w:rPr>
        <w:t xml:space="preserve">The respective rights and obligations of the </w:t>
      </w:r>
      <w:r>
        <w:rPr>
          <w:rFonts w:ascii="Garamond" w:hAnsi="Garamond" w:cs="Times New Roman"/>
          <w:sz w:val="20"/>
          <w:szCs w:val="20"/>
        </w:rPr>
        <w:t xml:space="preserve">parties</w:t>
      </w:r>
      <w:r>
        <w:rPr>
          <w:rFonts w:ascii="Garamond" w:hAnsi="Garamond" w:cs="Times New Roman"/>
          <w:sz w:val="20"/>
          <w:szCs w:val="20"/>
        </w:rPr>
        <w:t xml:space="preserve"> under </w:t>
      </w:r>
      <w:r>
        <w:rPr>
          <w:rFonts w:ascii="Garamond" w:hAnsi="Garamond" w:cs="Times New Roman"/>
          <w:sz w:val="20"/>
          <w:szCs w:val="20"/>
        </w:rPr>
        <w:t xml:space="preserve">Section 8(B)–(D</w:t>
      </w:r>
      <w:r>
        <w:rPr>
          <w:rFonts w:ascii="Garamond" w:hAnsi="Garamond" w:cs="Times New Roman"/>
          <w:sz w:val="20"/>
          <w:szCs w:val="20"/>
        </w:rPr>
        <w:t xml:space="preserve">) and</w:t>
      </w:r>
      <w:r>
        <w:rPr>
          <w:rFonts w:ascii="Garamond" w:eastAsia="Times New Roman" w:hAnsi="Garamond" w:cs="Times New Roman"/>
          <w:sz w:val="20"/>
          <w:szCs w:val="20"/>
        </w:rPr>
        <w:t xml:space="preserve"> Section</w:t>
      </w:r>
      <w:r>
        <w:rPr>
          <w:rFonts w:ascii="Garamond" w:hAnsi="Garamond" w:cs="Times New Roman"/>
          <w:sz w:val="20"/>
          <w:szCs w:val="20"/>
        </w:rPr>
        <w:t xml:space="preserve"> 9 (Miscellaneous) will survive termination of this BAA indefinitely.</w:t>
      </w:r>
      <w:r>
        <w:rPr>
          <w:rFonts w:ascii="Garamond" w:hAnsi="Garamond" w:cs="Times New Roman"/>
          <w:snapToGrid w:val="0"/>
          <w:sz w:val="20"/>
          <w:szCs w:val="20"/>
        </w:rPr>
        <w:t xml:space="preserve"> This BAA may be executed in several counterparts, each of which will be deemed an original but all of which will constitute one and the same agreement. Facsimile signatures and electronic copies of signatures shall have the same force and effect as original signatures.</w:t>
      </w:r>
    </w:p>
    <w:p w14:paraId="76613193" w14:textId="61502C49" w:rsidR="00074F9F" w:rsidRPr="008157D1" w:rsidRDefault="00074F9F" w:rsidP="00AA73A5">
      <w:pPr>
        <w:jc w:val="center"/>
        <w:rPr>
          <w:rFonts w:ascii="Garamond" w:eastAsia="Times New Roman" w:hAnsi="Garamond" w:cs="Times New Roman"/>
          <w:sz w:val="20"/>
          <w:szCs w:val="20"/>
        </w:rPr>
      </w:pPr>
    </w:p>
    <w:p w14:paraId="5BBFD112" w14:textId="3F74E0BC" w:rsidR="004C7060" w:rsidRPr="00BB0DC2" w:rsidRDefault="004C7060" w:rsidP="00AA73A5">
      <w:pPr>
        <w:jc w:val="center"/>
        <w:rPr>
          <w:rFonts w:ascii="Garamond" w:eastAsia="Times New Roman" w:hAnsi="Garamond" w:cs="Times New Roman"/>
          <w:sz w:val="20"/>
          <w:szCs w:val="20"/>
        </w:rPr>
      </w:pPr>
      <w:r>
        <w:rPr>
          <w:rFonts w:ascii="Garamond" w:eastAsia="Times New Roman" w:hAnsi="Garamond" w:cs="Times New Roman"/>
          <w:sz w:val="20"/>
          <w:szCs w:val="20"/>
        </w:rPr>
        <w:t>[</w:t>
      </w:r>
      <w:r>
        <w:rPr>
          <w:rFonts w:ascii="Garamond" w:eastAsia="Times New Roman" w:hAnsi="Garamond" w:cs="Times New Roman"/>
          <w:b/>
          <w:bCs/>
          <w:i/>
          <w:iCs/>
          <w:sz w:val="20"/>
          <w:szCs w:val="20"/>
        </w:rPr>
        <w:t>End of Document</w:t>
      </w:r>
      <w:r>
        <w:rPr>
          <w:rFonts w:ascii="Garamond" w:eastAsia="Times New Roman" w:hAnsi="Garamond" w:cs="Times New Roman"/>
          <w:sz w:val="20"/>
          <w:szCs w:val="20"/>
        </w:rPr>
        <w:t>]</w:t>
      </w:r>
    </w:p>
    <w:sectPr w:rsidR="004C7060" w:rsidRPr="00BB0DC2" w:rsidSect="00074F9F">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92924C" w14:textId="77777777" w:rsidR="00BC0392" w:rsidRDefault="00BC0392">
      <w:pPr>
        <w:spacing w:after="0"/>
      </w:pPr>
      <w:r>
        <w:separator/>
      </w:r>
    </w:p>
  </w:endnote>
  <w:endnote w:type="continuationSeparator" w:id="0">
    <w:p w14:paraId="07AE3CEC" w14:textId="77777777" w:rsidR="00BC0392" w:rsidRDefault="00BC0392">
      <w:pPr>
        <w:spacing w:after="0"/>
      </w:pPr>
      <w:r>
        <w:continuationSeparator/>
      </w:r>
    </w:p>
  </w:endnote>
  <w:endnote w:type="continuationNotice" w:id="1">
    <w:p w14:paraId="0DC81FAB" w14:textId="77777777" w:rsidR="00BC0392" w:rsidRDefault="00BC039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Roboto">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F80395" w14:textId="77777777" w:rsidR="003417AB" w:rsidRDefault="00341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6EC11" w14:textId="0EDDC0CC" w:rsidR="0072374C" w:rsidRPr="0072374C" w:rsidRDefault="0072374C" w:rsidP="0072374C">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04852" w14:textId="77777777" w:rsidR="00BC0392" w:rsidRDefault="00BC0392">
      <w:pPr>
        <w:spacing w:after="0"/>
        <w:rPr>
          <w:noProof/>
        </w:rPr>
      </w:pPr>
      <w:r>
        <w:rPr>
          <w:noProof/>
        </w:rPr>
        <w:separator/>
      </w:r>
    </w:p>
  </w:footnote>
  <w:footnote w:type="continuationSeparator" w:id="0">
    <w:p w14:paraId="0E683868" w14:textId="77777777" w:rsidR="00BC0392" w:rsidRDefault="00BC0392">
      <w:pPr>
        <w:spacing w:after="0"/>
      </w:pPr>
      <w:r>
        <w:continuationSeparator/>
      </w:r>
    </w:p>
  </w:footnote>
  <w:footnote w:type="continuationNotice" w:id="1">
    <w:p w14:paraId="3064F264" w14:textId="77777777" w:rsidR="00BC0392" w:rsidRDefault="00BC039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BA906" w14:textId="77777777" w:rsidR="003417AB" w:rsidRDefault="00341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F091A"/>
    <w:multiLevelType w:val="hybridMultilevel"/>
    <w:tmpl w:val="78409176"/>
    <w:lvl w:ilvl="0" w:tplc="CCF45AE8">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EA0EE5"/>
    <w:multiLevelType w:val="multilevel"/>
    <w:tmpl w:val="BA805F6E"/>
    <w:lvl w:ilvl="0">
      <w:start w:val="1"/>
      <w:numFmt w:val="decimal"/>
      <w:pStyle w:val="SCMx1"/>
      <w:lvlText w:val="%1."/>
      <w:lvlJc w:val="left"/>
      <w:pPr>
        <w:tabs>
          <w:tab w:val="num" w:pos="360"/>
        </w:tabs>
        <w:ind w:left="0" w:firstLine="0"/>
      </w:pPr>
      <w:rPr>
        <w:rFonts w:ascii="Arial" w:hAnsi="Arial" w:hint="default"/>
        <w:b/>
        <w:i w:val="0"/>
        <w:caps/>
        <w:strike w:val="0"/>
        <w:dstrike w:val="0"/>
        <w:vanish w:val="0"/>
        <w:color w:val="000000" w:themeColor="text1"/>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SCMx2"/>
      <w:lvlText w:val="%2."/>
      <w:lvlJc w:val="left"/>
      <w:pPr>
        <w:tabs>
          <w:tab w:val="num" w:pos="360"/>
        </w:tabs>
        <w:ind w:left="0" w:firstLine="0"/>
      </w:pPr>
      <w:rPr>
        <w:rFonts w:ascii="Arial" w:hAnsi="Arial" w:hint="default"/>
        <w:b/>
        <w:i w:val="0"/>
        <w:caps/>
        <w:strike w:val="0"/>
        <w:dstrike w:val="0"/>
        <w:vanish w:val="0"/>
        <w:color w:val="000000" w:themeColor="text1"/>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SCMx3"/>
      <w:lvlText w:val="(%3)"/>
      <w:lvlJc w:val="left"/>
      <w:pPr>
        <w:tabs>
          <w:tab w:val="num" w:pos="720"/>
        </w:tabs>
        <w:ind w:left="360" w:firstLine="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8422644"/>
    <w:multiLevelType w:val="hybridMultilevel"/>
    <w:tmpl w:val="9BFA35F0"/>
    <w:lvl w:ilvl="0" w:tplc="CCB6DF5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A263763"/>
    <w:multiLevelType w:val="hybridMultilevel"/>
    <w:tmpl w:val="13F01D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1293A40"/>
    <w:multiLevelType w:val="multilevel"/>
    <w:tmpl w:val="1D163FAA"/>
    <w:lvl w:ilvl="0">
      <w:start w:val="1"/>
      <w:numFmt w:val="upperRoman"/>
      <w:pStyle w:val="Heading1"/>
      <w:suff w:val="nothing"/>
      <w:lvlText w:val="ARTICLE %1"/>
      <w:lvlJc w:val="left"/>
      <w:pPr>
        <w:ind w:left="0" w:firstLine="0"/>
      </w:pPr>
      <w:rPr>
        <w:rFonts w:ascii="Times New Roman" w:hAnsi="Times New Roman" w:cs="Times New Roman" w:hint="default"/>
        <w:b/>
        <w:i w:val="0"/>
        <w:strike w:val="0"/>
        <w:dstrike w:val="0"/>
        <w:sz w:val="24"/>
        <w:u w:val="none"/>
        <w:effect w:val="none"/>
      </w:rPr>
    </w:lvl>
    <w:lvl w:ilvl="1">
      <w:start w:val="1"/>
      <w:numFmt w:val="decimal"/>
      <w:pStyle w:val="Heading2"/>
      <w:isLgl/>
      <w:lvlText w:val="%1.%2"/>
      <w:lvlJc w:val="left"/>
      <w:pPr>
        <w:tabs>
          <w:tab w:val="num" w:pos="2160"/>
        </w:tabs>
        <w:ind w:left="0" w:firstLine="1440"/>
      </w:pPr>
      <w:rPr>
        <w:rFonts w:ascii="Times New Roman" w:hAnsi="Times New Roman" w:cs="Times New Roman" w:hint="default"/>
        <w:b w:val="0"/>
        <w:i w:val="0"/>
        <w:sz w:val="24"/>
      </w:rPr>
    </w:lvl>
    <w:lvl w:ilvl="2">
      <w:start w:val="1"/>
      <w:numFmt w:val="lowerLetter"/>
      <w:pStyle w:val="Heading3"/>
      <w:lvlText w:val="(%3)"/>
      <w:lvlJc w:val="left"/>
      <w:pPr>
        <w:tabs>
          <w:tab w:val="num" w:pos="2880"/>
        </w:tabs>
        <w:ind w:left="720" w:firstLine="1440"/>
      </w:pPr>
      <w:rPr>
        <w:rFonts w:ascii="Times New Roman" w:hAnsi="Times New Roman" w:cs="Times New Roman" w:hint="default"/>
        <w:b w:val="0"/>
        <w:i w:val="0"/>
        <w:sz w:val="24"/>
      </w:rPr>
    </w:lvl>
    <w:lvl w:ilvl="3">
      <w:start w:val="1"/>
      <w:numFmt w:val="lowerRoman"/>
      <w:pStyle w:val="Heading4"/>
      <w:lvlText w:val="(%4)"/>
      <w:lvlJc w:val="left"/>
      <w:pPr>
        <w:tabs>
          <w:tab w:val="num" w:pos="3600"/>
        </w:tabs>
        <w:ind w:left="2160" w:firstLine="720"/>
      </w:pPr>
      <w:rPr>
        <w:rFonts w:ascii="Times New Roman" w:hAnsi="Times New Roman" w:cs="Times New Roman" w:hint="default"/>
        <w:b w:val="0"/>
        <w:i w:val="0"/>
        <w:sz w:val="24"/>
      </w:rPr>
    </w:lvl>
    <w:lvl w:ilvl="4">
      <w:start w:val="1"/>
      <w:numFmt w:val="none"/>
      <w:pStyle w:val="Heading5"/>
      <w:lvlText w:val=""/>
      <w:lvlJc w:val="left"/>
      <w:pPr>
        <w:tabs>
          <w:tab w:val="num" w:pos="0"/>
        </w:tabs>
        <w:ind w:left="0" w:firstLine="0"/>
      </w:pPr>
      <w:rPr>
        <w:rFonts w:ascii="Times New Roman" w:hAnsi="Times New Roman" w:cs="Times New Roman" w:hint="default"/>
        <w:b w:val="0"/>
        <w:i w:val="0"/>
        <w:sz w:val="24"/>
      </w:rPr>
    </w:lvl>
    <w:lvl w:ilvl="5">
      <w:start w:val="1"/>
      <w:numFmt w:val="none"/>
      <w:pStyle w:val="Heading6"/>
      <w:lvlText w:val=""/>
      <w:lvlJc w:val="left"/>
      <w:pPr>
        <w:tabs>
          <w:tab w:val="num" w:pos="0"/>
        </w:tabs>
        <w:ind w:left="0" w:firstLine="0"/>
      </w:pPr>
      <w:rPr>
        <w:rFonts w:ascii="Times New Roman" w:hAnsi="Times New Roman" w:cs="Times New Roman" w:hint="default"/>
        <w:b w:val="0"/>
        <w:i w:val="0"/>
        <w:sz w:val="24"/>
      </w:rPr>
    </w:lvl>
    <w:lvl w:ilvl="6">
      <w:start w:val="1"/>
      <w:numFmt w:val="none"/>
      <w:pStyle w:val="Heading7"/>
      <w:lvlText w:val=""/>
      <w:lvlJc w:val="left"/>
      <w:pPr>
        <w:tabs>
          <w:tab w:val="num" w:pos="0"/>
        </w:tabs>
        <w:ind w:left="0" w:firstLine="0"/>
      </w:pPr>
      <w:rPr>
        <w:rFonts w:ascii="Times New Roman" w:hAnsi="Times New Roman" w:cs="Times New Roman" w:hint="default"/>
        <w:b w:val="0"/>
        <w:i w:val="0"/>
        <w:sz w:val="24"/>
      </w:rPr>
    </w:lvl>
    <w:lvl w:ilvl="7">
      <w:start w:val="1"/>
      <w:numFmt w:val="none"/>
      <w:pStyle w:val="Heading8"/>
      <w:lvlText w:val=""/>
      <w:lvlJc w:val="left"/>
      <w:pPr>
        <w:tabs>
          <w:tab w:val="num" w:pos="0"/>
        </w:tabs>
        <w:ind w:left="0" w:firstLine="0"/>
      </w:pPr>
      <w:rPr>
        <w:rFonts w:ascii="Times New Roman" w:hAnsi="Times New Roman" w:cs="Times New Roman" w:hint="default"/>
        <w:b w:val="0"/>
        <w:i w:val="0"/>
        <w:sz w:val="24"/>
      </w:rPr>
    </w:lvl>
    <w:lvl w:ilvl="8">
      <w:start w:val="1"/>
      <w:numFmt w:val="none"/>
      <w:pStyle w:val="Heading9"/>
      <w:lvlText w:val=""/>
      <w:lvlJc w:val="left"/>
      <w:pPr>
        <w:tabs>
          <w:tab w:val="num" w:pos="0"/>
        </w:tabs>
        <w:ind w:left="0" w:firstLine="0"/>
      </w:pPr>
    </w:lvl>
  </w:abstractNum>
  <w:abstractNum w:abstractNumId="5" w15:restartNumberingAfterBreak="0">
    <w:nsid w:val="31B17FE8"/>
    <w:multiLevelType w:val="multilevel"/>
    <w:tmpl w:val="D6AC168E"/>
    <w:lvl w:ilvl="0">
      <w:start w:val="1"/>
      <w:numFmt w:val="decimal"/>
      <w:lvlText w:val="%1)"/>
      <w:lvlJc w:val="left"/>
      <w:pPr>
        <w:ind w:left="360" w:hanging="360"/>
      </w:pPr>
      <w:rPr>
        <w:b/>
        <w:bCs/>
      </w:rPr>
    </w:lvl>
    <w:lvl w:ilvl="1">
      <w:start w:val="1"/>
      <w:numFmt w:val="upp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25A5B67"/>
    <w:multiLevelType w:val="hybridMultilevel"/>
    <w:tmpl w:val="7014093C"/>
    <w:lvl w:ilvl="0" w:tplc="D182E71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184B71"/>
    <w:multiLevelType w:val="hybridMultilevel"/>
    <w:tmpl w:val="ECDA2C18"/>
    <w:lvl w:ilvl="0" w:tplc="31EA6EB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16188A"/>
    <w:multiLevelType w:val="hybridMultilevel"/>
    <w:tmpl w:val="90023152"/>
    <w:lvl w:ilvl="0" w:tplc="CA24784A">
      <w:start w:val="1"/>
      <w:numFmt w:val="upperLetter"/>
      <w:lvlText w:val="%1."/>
      <w:lvlJc w:val="left"/>
      <w:pPr>
        <w:ind w:left="1440" w:hanging="720"/>
      </w:pPr>
      <w:rPr>
        <w:rFonts w:hint="default"/>
      </w:rPr>
    </w:lvl>
    <w:lvl w:ilvl="1" w:tplc="8FF4EC0A">
      <w:start w:val="1"/>
      <w:numFmt w:val="lowerRoman"/>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6EE65FF"/>
    <w:multiLevelType w:val="hybridMultilevel"/>
    <w:tmpl w:val="6C6E4E90"/>
    <w:lvl w:ilvl="0" w:tplc="795EAFD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4B28743D"/>
    <w:multiLevelType w:val="hybridMultilevel"/>
    <w:tmpl w:val="670C8CEA"/>
    <w:lvl w:ilvl="0" w:tplc="8676ED2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01E5BD9"/>
    <w:multiLevelType w:val="hybridMultilevel"/>
    <w:tmpl w:val="89D63956"/>
    <w:lvl w:ilvl="0" w:tplc="E5A6A3EE">
      <w:start w:val="1"/>
      <w:numFmt w:val="upperLetter"/>
      <w:lvlText w:val="(%1)"/>
      <w:lvlJc w:val="left"/>
      <w:pPr>
        <w:ind w:left="360" w:hanging="36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A70252"/>
    <w:multiLevelType w:val="multilevel"/>
    <w:tmpl w:val="2BF6FBA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6D4A6F"/>
    <w:multiLevelType w:val="hybridMultilevel"/>
    <w:tmpl w:val="B9D0E56C"/>
    <w:lvl w:ilvl="0" w:tplc="DFE4B2F4">
      <w:start w:val="1"/>
      <w:numFmt w:val="upperLetter"/>
      <w:lvlText w:val="%1."/>
      <w:lvlJc w:val="left"/>
      <w:pPr>
        <w:ind w:left="72" w:hanging="72"/>
      </w:pPr>
      <w:rPr>
        <w:rFonts w:hint="default"/>
      </w:rPr>
    </w:lvl>
    <w:lvl w:ilvl="1" w:tplc="04090019" w:tentative="1">
      <w:start w:val="1"/>
      <w:numFmt w:val="lowerLetter"/>
      <w:lvlText w:val="%2."/>
      <w:lvlJc w:val="left"/>
      <w:pPr>
        <w:ind w:left="5310" w:hanging="360"/>
      </w:pPr>
    </w:lvl>
    <w:lvl w:ilvl="2" w:tplc="0409001B" w:tentative="1">
      <w:start w:val="1"/>
      <w:numFmt w:val="lowerRoman"/>
      <w:lvlText w:val="%3."/>
      <w:lvlJc w:val="right"/>
      <w:pPr>
        <w:ind w:left="6030" w:hanging="180"/>
      </w:pPr>
    </w:lvl>
    <w:lvl w:ilvl="3" w:tplc="0409000F" w:tentative="1">
      <w:start w:val="1"/>
      <w:numFmt w:val="decimal"/>
      <w:lvlText w:val="%4."/>
      <w:lvlJc w:val="left"/>
      <w:pPr>
        <w:ind w:left="6750" w:hanging="360"/>
      </w:pPr>
    </w:lvl>
    <w:lvl w:ilvl="4" w:tplc="04090019" w:tentative="1">
      <w:start w:val="1"/>
      <w:numFmt w:val="lowerLetter"/>
      <w:lvlText w:val="%5."/>
      <w:lvlJc w:val="left"/>
      <w:pPr>
        <w:ind w:left="7470" w:hanging="360"/>
      </w:pPr>
    </w:lvl>
    <w:lvl w:ilvl="5" w:tplc="0409001B" w:tentative="1">
      <w:start w:val="1"/>
      <w:numFmt w:val="lowerRoman"/>
      <w:lvlText w:val="%6."/>
      <w:lvlJc w:val="right"/>
      <w:pPr>
        <w:ind w:left="8190" w:hanging="180"/>
      </w:pPr>
    </w:lvl>
    <w:lvl w:ilvl="6" w:tplc="0409000F" w:tentative="1">
      <w:start w:val="1"/>
      <w:numFmt w:val="decimal"/>
      <w:lvlText w:val="%7."/>
      <w:lvlJc w:val="left"/>
      <w:pPr>
        <w:ind w:left="8910" w:hanging="360"/>
      </w:pPr>
    </w:lvl>
    <w:lvl w:ilvl="7" w:tplc="04090019" w:tentative="1">
      <w:start w:val="1"/>
      <w:numFmt w:val="lowerLetter"/>
      <w:lvlText w:val="%8."/>
      <w:lvlJc w:val="left"/>
      <w:pPr>
        <w:ind w:left="9630" w:hanging="360"/>
      </w:pPr>
    </w:lvl>
    <w:lvl w:ilvl="8" w:tplc="0409001B" w:tentative="1">
      <w:start w:val="1"/>
      <w:numFmt w:val="lowerRoman"/>
      <w:lvlText w:val="%9."/>
      <w:lvlJc w:val="right"/>
      <w:pPr>
        <w:ind w:left="10350" w:hanging="180"/>
      </w:pPr>
    </w:lvl>
  </w:abstractNum>
  <w:abstractNum w:abstractNumId="14" w15:restartNumberingAfterBreak="0">
    <w:nsid w:val="66ED6978"/>
    <w:multiLevelType w:val="hybridMultilevel"/>
    <w:tmpl w:val="EAA2FE6C"/>
    <w:lvl w:ilvl="0" w:tplc="E2B255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F0736BA"/>
    <w:multiLevelType w:val="singleLevel"/>
    <w:tmpl w:val="FC8AE550"/>
    <w:lvl w:ilvl="0">
      <w:start w:val="5"/>
      <w:numFmt w:val="decimal"/>
      <w:lvlText w:val="%1."/>
      <w:legacy w:legacy="1" w:legacySpace="120" w:legacyIndent="360"/>
      <w:lvlJc w:val="left"/>
      <w:pPr>
        <w:ind w:left="1080" w:hanging="360"/>
      </w:pPr>
      <w:rPr>
        <w:b w:val="0"/>
      </w:rPr>
    </w:lvl>
  </w:abstractNum>
  <w:abstractNum w:abstractNumId="16" w15:restartNumberingAfterBreak="0">
    <w:nsid w:val="77B06985"/>
    <w:multiLevelType w:val="hybridMultilevel"/>
    <w:tmpl w:val="52EC870A"/>
    <w:lvl w:ilvl="0" w:tplc="22D6F4F8">
      <w:start w:val="1"/>
      <w:numFmt w:val="upperLetter"/>
      <w:lvlText w:val="%1."/>
      <w:lvlJc w:val="left"/>
      <w:pPr>
        <w:ind w:left="1440" w:hanging="1080"/>
      </w:pPr>
      <w:rPr>
        <w:rFonts w:hint="default"/>
      </w:rPr>
    </w:lvl>
    <w:lvl w:ilvl="1" w:tplc="0D34FC9A">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0"/>
  </w:num>
  <w:num w:numId="3">
    <w:abstractNumId w:val="13"/>
  </w:num>
  <w:num w:numId="4">
    <w:abstractNumId w:val="1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
  </w:num>
  <w:num w:numId="8">
    <w:abstractNumId w:val="5"/>
  </w:num>
  <w:num w:numId="9">
    <w:abstractNumId w:val="9"/>
  </w:num>
  <w:num w:numId="10">
    <w:abstractNumId w:val="7"/>
  </w:num>
  <w:num w:numId="11">
    <w:abstractNumId w:val="10"/>
  </w:num>
  <w:num w:numId="12">
    <w:abstractNumId w:val="14"/>
  </w:num>
  <w:num w:numId="13">
    <w:abstractNumId w:val="6"/>
  </w:num>
  <w:num w:numId="14">
    <w:abstractNumId w:val="8"/>
  </w:num>
  <w:num w:numId="15">
    <w:abstractNumId w:val="16"/>
  </w:num>
  <w:num w:numId="16">
    <w:abstractNumId w:val="3"/>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 w:name="CITRUS_DOC_GUID" w:val="9977f695-505a-4997-beb6-39bbda0949de"/>
  </w:docVars>
  <w:rsids>
    <w:rsidRoot w:val="00074F9F"/>
    <w:rsid w:val="00000A35"/>
    <w:rsid w:val="00002A56"/>
    <w:rsid w:val="00002F4A"/>
    <w:rsid w:val="00003A96"/>
    <w:rsid w:val="00005E34"/>
    <w:rsid w:val="0001490D"/>
    <w:rsid w:val="00024BBD"/>
    <w:rsid w:val="00034DD7"/>
    <w:rsid w:val="000432E9"/>
    <w:rsid w:val="000514A7"/>
    <w:rsid w:val="00056A99"/>
    <w:rsid w:val="000678BC"/>
    <w:rsid w:val="00072F22"/>
    <w:rsid w:val="00074F9F"/>
    <w:rsid w:val="0008399C"/>
    <w:rsid w:val="000A0611"/>
    <w:rsid w:val="000A172E"/>
    <w:rsid w:val="000B0EFD"/>
    <w:rsid w:val="000B3B3B"/>
    <w:rsid w:val="000B778D"/>
    <w:rsid w:val="000C28B4"/>
    <w:rsid w:val="000D430A"/>
    <w:rsid w:val="000D4A65"/>
    <w:rsid w:val="000F194F"/>
    <w:rsid w:val="000F6511"/>
    <w:rsid w:val="001022C1"/>
    <w:rsid w:val="0010302E"/>
    <w:rsid w:val="00105DA3"/>
    <w:rsid w:val="001108B0"/>
    <w:rsid w:val="001172FE"/>
    <w:rsid w:val="00124748"/>
    <w:rsid w:val="00141D3A"/>
    <w:rsid w:val="001465A7"/>
    <w:rsid w:val="00150502"/>
    <w:rsid w:val="00152E18"/>
    <w:rsid w:val="0016485C"/>
    <w:rsid w:val="0017747A"/>
    <w:rsid w:val="00180E79"/>
    <w:rsid w:val="00181587"/>
    <w:rsid w:val="00183A6F"/>
    <w:rsid w:val="001865BF"/>
    <w:rsid w:val="00194473"/>
    <w:rsid w:val="001945AF"/>
    <w:rsid w:val="001949E3"/>
    <w:rsid w:val="001A20BD"/>
    <w:rsid w:val="001B0E12"/>
    <w:rsid w:val="001B6C22"/>
    <w:rsid w:val="001B7ABD"/>
    <w:rsid w:val="001B7CAF"/>
    <w:rsid w:val="001C57F7"/>
    <w:rsid w:val="001C63F6"/>
    <w:rsid w:val="001D5F67"/>
    <w:rsid w:val="001D67ED"/>
    <w:rsid w:val="001E6470"/>
    <w:rsid w:val="001E6564"/>
    <w:rsid w:val="001F020F"/>
    <w:rsid w:val="001F1728"/>
    <w:rsid w:val="002023B4"/>
    <w:rsid w:val="00204E11"/>
    <w:rsid w:val="0021229A"/>
    <w:rsid w:val="00215186"/>
    <w:rsid w:val="00215BE8"/>
    <w:rsid w:val="002226A3"/>
    <w:rsid w:val="002429F7"/>
    <w:rsid w:val="002606E0"/>
    <w:rsid w:val="00263AD1"/>
    <w:rsid w:val="00266489"/>
    <w:rsid w:val="00267AA1"/>
    <w:rsid w:val="00270817"/>
    <w:rsid w:val="00275E32"/>
    <w:rsid w:val="002819D8"/>
    <w:rsid w:val="002939C3"/>
    <w:rsid w:val="002A306B"/>
    <w:rsid w:val="002C5A6D"/>
    <w:rsid w:val="002F589E"/>
    <w:rsid w:val="002F5C7C"/>
    <w:rsid w:val="003015CB"/>
    <w:rsid w:val="00301E11"/>
    <w:rsid w:val="003077C8"/>
    <w:rsid w:val="00307D4F"/>
    <w:rsid w:val="00311261"/>
    <w:rsid w:val="003114AE"/>
    <w:rsid w:val="00315F1A"/>
    <w:rsid w:val="00325418"/>
    <w:rsid w:val="0034016D"/>
    <w:rsid w:val="003417AB"/>
    <w:rsid w:val="003439FB"/>
    <w:rsid w:val="003532FB"/>
    <w:rsid w:val="00357C9B"/>
    <w:rsid w:val="003641D1"/>
    <w:rsid w:val="00384897"/>
    <w:rsid w:val="003927E9"/>
    <w:rsid w:val="00395C5E"/>
    <w:rsid w:val="003B4B9C"/>
    <w:rsid w:val="003C1ABA"/>
    <w:rsid w:val="003D3288"/>
    <w:rsid w:val="003D592E"/>
    <w:rsid w:val="003E2396"/>
    <w:rsid w:val="003E3CC1"/>
    <w:rsid w:val="003F0BF0"/>
    <w:rsid w:val="0040332B"/>
    <w:rsid w:val="00404FFB"/>
    <w:rsid w:val="004176C9"/>
    <w:rsid w:val="004368B2"/>
    <w:rsid w:val="004425DC"/>
    <w:rsid w:val="00447CF9"/>
    <w:rsid w:val="00450BC3"/>
    <w:rsid w:val="00452F56"/>
    <w:rsid w:val="00455A72"/>
    <w:rsid w:val="004567C0"/>
    <w:rsid w:val="00474623"/>
    <w:rsid w:val="004A1BC8"/>
    <w:rsid w:val="004A2B42"/>
    <w:rsid w:val="004A4251"/>
    <w:rsid w:val="004B029A"/>
    <w:rsid w:val="004B18FD"/>
    <w:rsid w:val="004B41E3"/>
    <w:rsid w:val="004C6289"/>
    <w:rsid w:val="004C7060"/>
    <w:rsid w:val="004D41CB"/>
    <w:rsid w:val="004E0B19"/>
    <w:rsid w:val="004E46D6"/>
    <w:rsid w:val="005058CB"/>
    <w:rsid w:val="00506506"/>
    <w:rsid w:val="00512D77"/>
    <w:rsid w:val="00530AB9"/>
    <w:rsid w:val="005331B5"/>
    <w:rsid w:val="00534A98"/>
    <w:rsid w:val="00536610"/>
    <w:rsid w:val="005467FC"/>
    <w:rsid w:val="005507E6"/>
    <w:rsid w:val="0056106D"/>
    <w:rsid w:val="0056540A"/>
    <w:rsid w:val="00580CB0"/>
    <w:rsid w:val="00584BEB"/>
    <w:rsid w:val="005A1FD9"/>
    <w:rsid w:val="005B73B2"/>
    <w:rsid w:val="005D0F72"/>
    <w:rsid w:val="005D4ED2"/>
    <w:rsid w:val="005E0219"/>
    <w:rsid w:val="0060094C"/>
    <w:rsid w:val="00602BAE"/>
    <w:rsid w:val="00612121"/>
    <w:rsid w:val="00621B87"/>
    <w:rsid w:val="0062506B"/>
    <w:rsid w:val="0064198C"/>
    <w:rsid w:val="006446F8"/>
    <w:rsid w:val="00665F97"/>
    <w:rsid w:val="00672A7B"/>
    <w:rsid w:val="0067393F"/>
    <w:rsid w:val="00676308"/>
    <w:rsid w:val="006859E4"/>
    <w:rsid w:val="00685BD8"/>
    <w:rsid w:val="00694720"/>
    <w:rsid w:val="006A0CCA"/>
    <w:rsid w:val="006B00A2"/>
    <w:rsid w:val="006C1F11"/>
    <w:rsid w:val="006D08E6"/>
    <w:rsid w:val="006D6E7F"/>
    <w:rsid w:val="006E1F40"/>
    <w:rsid w:val="006E7DEA"/>
    <w:rsid w:val="006F05F9"/>
    <w:rsid w:val="006F3F5E"/>
    <w:rsid w:val="006F7DAD"/>
    <w:rsid w:val="00701CE1"/>
    <w:rsid w:val="007026BC"/>
    <w:rsid w:val="00706874"/>
    <w:rsid w:val="00721BD9"/>
    <w:rsid w:val="00721EB2"/>
    <w:rsid w:val="0072374C"/>
    <w:rsid w:val="00727220"/>
    <w:rsid w:val="007351B9"/>
    <w:rsid w:val="00742513"/>
    <w:rsid w:val="00745717"/>
    <w:rsid w:val="0074622B"/>
    <w:rsid w:val="007468CF"/>
    <w:rsid w:val="007501EB"/>
    <w:rsid w:val="0075549E"/>
    <w:rsid w:val="007765DF"/>
    <w:rsid w:val="00793EE1"/>
    <w:rsid w:val="007A0F71"/>
    <w:rsid w:val="007B00AA"/>
    <w:rsid w:val="007B3BA9"/>
    <w:rsid w:val="007B737D"/>
    <w:rsid w:val="007D0A5C"/>
    <w:rsid w:val="007E62B7"/>
    <w:rsid w:val="007F0197"/>
    <w:rsid w:val="007F02C3"/>
    <w:rsid w:val="007F7507"/>
    <w:rsid w:val="00800AFE"/>
    <w:rsid w:val="00800F70"/>
    <w:rsid w:val="00805402"/>
    <w:rsid w:val="00813AAC"/>
    <w:rsid w:val="008157D1"/>
    <w:rsid w:val="00822007"/>
    <w:rsid w:val="00831C1F"/>
    <w:rsid w:val="00842DDF"/>
    <w:rsid w:val="00846F2F"/>
    <w:rsid w:val="00855F19"/>
    <w:rsid w:val="008652AE"/>
    <w:rsid w:val="00871852"/>
    <w:rsid w:val="00881C2C"/>
    <w:rsid w:val="008828AA"/>
    <w:rsid w:val="00883174"/>
    <w:rsid w:val="008949F0"/>
    <w:rsid w:val="00895C58"/>
    <w:rsid w:val="008A5C26"/>
    <w:rsid w:val="008B0134"/>
    <w:rsid w:val="008B3A05"/>
    <w:rsid w:val="008B79E2"/>
    <w:rsid w:val="008C588B"/>
    <w:rsid w:val="008D659A"/>
    <w:rsid w:val="008F0482"/>
    <w:rsid w:val="008F63C5"/>
    <w:rsid w:val="00903AAF"/>
    <w:rsid w:val="009100E9"/>
    <w:rsid w:val="009130E9"/>
    <w:rsid w:val="009266D9"/>
    <w:rsid w:val="009375CE"/>
    <w:rsid w:val="00953F0A"/>
    <w:rsid w:val="0095635B"/>
    <w:rsid w:val="00957EA7"/>
    <w:rsid w:val="0096215E"/>
    <w:rsid w:val="00987E56"/>
    <w:rsid w:val="00990DE9"/>
    <w:rsid w:val="009930CD"/>
    <w:rsid w:val="0099600C"/>
    <w:rsid w:val="00997AF2"/>
    <w:rsid w:val="009A2F47"/>
    <w:rsid w:val="009A69F8"/>
    <w:rsid w:val="009B6B0A"/>
    <w:rsid w:val="009B7A2B"/>
    <w:rsid w:val="009C1876"/>
    <w:rsid w:val="009C1B12"/>
    <w:rsid w:val="009C2B63"/>
    <w:rsid w:val="009D4D8E"/>
    <w:rsid w:val="009E0C7F"/>
    <w:rsid w:val="009E2980"/>
    <w:rsid w:val="009E344F"/>
    <w:rsid w:val="009F36D3"/>
    <w:rsid w:val="009F40E8"/>
    <w:rsid w:val="00A012E2"/>
    <w:rsid w:val="00A21450"/>
    <w:rsid w:val="00A21A95"/>
    <w:rsid w:val="00A23BF5"/>
    <w:rsid w:val="00A25E44"/>
    <w:rsid w:val="00A308D0"/>
    <w:rsid w:val="00A71852"/>
    <w:rsid w:val="00A736C0"/>
    <w:rsid w:val="00A74BE0"/>
    <w:rsid w:val="00A803D5"/>
    <w:rsid w:val="00A835F8"/>
    <w:rsid w:val="00A84F86"/>
    <w:rsid w:val="00A901CF"/>
    <w:rsid w:val="00A92667"/>
    <w:rsid w:val="00A974F3"/>
    <w:rsid w:val="00A97F58"/>
    <w:rsid w:val="00A97FB4"/>
    <w:rsid w:val="00AA0191"/>
    <w:rsid w:val="00AA0207"/>
    <w:rsid w:val="00AA73A5"/>
    <w:rsid w:val="00AB3F04"/>
    <w:rsid w:val="00AB608C"/>
    <w:rsid w:val="00AC22FF"/>
    <w:rsid w:val="00AE4EA0"/>
    <w:rsid w:val="00AE708A"/>
    <w:rsid w:val="00AF00E1"/>
    <w:rsid w:val="00AF4498"/>
    <w:rsid w:val="00B018C2"/>
    <w:rsid w:val="00B06A08"/>
    <w:rsid w:val="00B1265F"/>
    <w:rsid w:val="00B12A47"/>
    <w:rsid w:val="00B22E0A"/>
    <w:rsid w:val="00B32752"/>
    <w:rsid w:val="00B37001"/>
    <w:rsid w:val="00B43681"/>
    <w:rsid w:val="00B53240"/>
    <w:rsid w:val="00B5442E"/>
    <w:rsid w:val="00B56131"/>
    <w:rsid w:val="00B62267"/>
    <w:rsid w:val="00B65BAE"/>
    <w:rsid w:val="00B65EB0"/>
    <w:rsid w:val="00B70DB9"/>
    <w:rsid w:val="00B7673B"/>
    <w:rsid w:val="00B77109"/>
    <w:rsid w:val="00B922D6"/>
    <w:rsid w:val="00BA10FE"/>
    <w:rsid w:val="00BB0DC2"/>
    <w:rsid w:val="00BC0392"/>
    <w:rsid w:val="00BC229B"/>
    <w:rsid w:val="00BC5094"/>
    <w:rsid w:val="00BD2925"/>
    <w:rsid w:val="00BD3D93"/>
    <w:rsid w:val="00BF24FA"/>
    <w:rsid w:val="00C02EC9"/>
    <w:rsid w:val="00C060F1"/>
    <w:rsid w:val="00C130BC"/>
    <w:rsid w:val="00C16A26"/>
    <w:rsid w:val="00C23388"/>
    <w:rsid w:val="00C246D2"/>
    <w:rsid w:val="00C252C6"/>
    <w:rsid w:val="00C32C44"/>
    <w:rsid w:val="00C3496C"/>
    <w:rsid w:val="00C50139"/>
    <w:rsid w:val="00C51215"/>
    <w:rsid w:val="00C53A9D"/>
    <w:rsid w:val="00C54439"/>
    <w:rsid w:val="00C632C0"/>
    <w:rsid w:val="00C678FF"/>
    <w:rsid w:val="00C7268A"/>
    <w:rsid w:val="00C76553"/>
    <w:rsid w:val="00C76FFD"/>
    <w:rsid w:val="00C77056"/>
    <w:rsid w:val="00C80271"/>
    <w:rsid w:val="00C8032F"/>
    <w:rsid w:val="00C8517E"/>
    <w:rsid w:val="00C96975"/>
    <w:rsid w:val="00CA50FA"/>
    <w:rsid w:val="00CC086B"/>
    <w:rsid w:val="00CC13FD"/>
    <w:rsid w:val="00CC326C"/>
    <w:rsid w:val="00CE4645"/>
    <w:rsid w:val="00CF2DDA"/>
    <w:rsid w:val="00CF3149"/>
    <w:rsid w:val="00CF71BD"/>
    <w:rsid w:val="00D21278"/>
    <w:rsid w:val="00D273EE"/>
    <w:rsid w:val="00D313F8"/>
    <w:rsid w:val="00D32C38"/>
    <w:rsid w:val="00D32C6B"/>
    <w:rsid w:val="00D36F01"/>
    <w:rsid w:val="00D416CF"/>
    <w:rsid w:val="00D54D3A"/>
    <w:rsid w:val="00D54F2C"/>
    <w:rsid w:val="00D5707D"/>
    <w:rsid w:val="00D57C59"/>
    <w:rsid w:val="00D63DC8"/>
    <w:rsid w:val="00D70385"/>
    <w:rsid w:val="00D71AF9"/>
    <w:rsid w:val="00D741AF"/>
    <w:rsid w:val="00D80AC4"/>
    <w:rsid w:val="00D8375C"/>
    <w:rsid w:val="00D940DF"/>
    <w:rsid w:val="00D94355"/>
    <w:rsid w:val="00D95303"/>
    <w:rsid w:val="00D956A5"/>
    <w:rsid w:val="00DC32F8"/>
    <w:rsid w:val="00DD04C3"/>
    <w:rsid w:val="00DD0880"/>
    <w:rsid w:val="00DD642B"/>
    <w:rsid w:val="00DE14D5"/>
    <w:rsid w:val="00DE621D"/>
    <w:rsid w:val="00DF02F7"/>
    <w:rsid w:val="00DF0A3B"/>
    <w:rsid w:val="00DF0BEA"/>
    <w:rsid w:val="00DF228E"/>
    <w:rsid w:val="00DF5462"/>
    <w:rsid w:val="00DF7B27"/>
    <w:rsid w:val="00E00FA6"/>
    <w:rsid w:val="00E03EEC"/>
    <w:rsid w:val="00E20BE3"/>
    <w:rsid w:val="00E20EBE"/>
    <w:rsid w:val="00E21A65"/>
    <w:rsid w:val="00E24D95"/>
    <w:rsid w:val="00E24ECC"/>
    <w:rsid w:val="00E251C5"/>
    <w:rsid w:val="00E26B30"/>
    <w:rsid w:val="00E34219"/>
    <w:rsid w:val="00E41233"/>
    <w:rsid w:val="00E454E3"/>
    <w:rsid w:val="00E54F94"/>
    <w:rsid w:val="00E5595A"/>
    <w:rsid w:val="00E5615C"/>
    <w:rsid w:val="00E61E17"/>
    <w:rsid w:val="00E66A15"/>
    <w:rsid w:val="00E703E1"/>
    <w:rsid w:val="00E720D0"/>
    <w:rsid w:val="00E72493"/>
    <w:rsid w:val="00E847B2"/>
    <w:rsid w:val="00E84E9D"/>
    <w:rsid w:val="00E90409"/>
    <w:rsid w:val="00E90E8F"/>
    <w:rsid w:val="00E93969"/>
    <w:rsid w:val="00EA67DC"/>
    <w:rsid w:val="00EB293C"/>
    <w:rsid w:val="00EC7B5B"/>
    <w:rsid w:val="00ED690B"/>
    <w:rsid w:val="00ED766B"/>
    <w:rsid w:val="00EE02A4"/>
    <w:rsid w:val="00EE24BE"/>
    <w:rsid w:val="00EE6A3B"/>
    <w:rsid w:val="00EF77DE"/>
    <w:rsid w:val="00F033CD"/>
    <w:rsid w:val="00F145C2"/>
    <w:rsid w:val="00F14FD0"/>
    <w:rsid w:val="00F161E8"/>
    <w:rsid w:val="00F27C89"/>
    <w:rsid w:val="00F347F1"/>
    <w:rsid w:val="00F41751"/>
    <w:rsid w:val="00F52DC8"/>
    <w:rsid w:val="00F538E1"/>
    <w:rsid w:val="00F67268"/>
    <w:rsid w:val="00F71EE6"/>
    <w:rsid w:val="00F80FF6"/>
    <w:rsid w:val="00F82FC3"/>
    <w:rsid w:val="00F943B3"/>
    <w:rsid w:val="00FB0A68"/>
    <w:rsid w:val="00FB5F58"/>
    <w:rsid w:val="00FB7654"/>
    <w:rsid w:val="00FC643C"/>
    <w:rsid w:val="00FD34EA"/>
    <w:rsid w:val="00FD39BB"/>
    <w:rsid w:val="00FE1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6586C"/>
  <w15:docId w15:val="{558597BA-6C4F-4EE1-8574-BBC3FC25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F9F"/>
    <w:rPr>
      <w:rFonts w:ascii="Times New Roman" w:hAnsi="Times New Roman"/>
      <w:sz w:val="24"/>
    </w:rPr>
  </w:style>
  <w:style w:type="paragraph" w:styleId="Heading1">
    <w:name w:val="heading 1"/>
    <w:basedOn w:val="Normal"/>
    <w:next w:val="Heading2"/>
    <w:link w:val="Heading1Char"/>
    <w:qFormat/>
    <w:rsid w:val="00074F9F"/>
    <w:pPr>
      <w:keepNext/>
      <w:numPr>
        <w:numId w:val="5"/>
      </w:numPr>
      <w:snapToGrid w:val="0"/>
      <w:spacing w:after="0"/>
      <w:jc w:val="center"/>
      <w:outlineLvl w:val="0"/>
    </w:pPr>
    <w:rPr>
      <w:rFonts w:eastAsia="Times New Roman" w:cs="Arial"/>
      <w:b/>
      <w:bCs/>
      <w:szCs w:val="24"/>
    </w:rPr>
  </w:style>
  <w:style w:type="paragraph" w:styleId="Heading2">
    <w:name w:val="heading 2"/>
    <w:basedOn w:val="Normal"/>
    <w:link w:val="Heading2Char"/>
    <w:semiHidden/>
    <w:unhideWhenUsed/>
    <w:qFormat/>
    <w:rsid w:val="00074F9F"/>
    <w:pPr>
      <w:numPr>
        <w:ilvl w:val="1"/>
        <w:numId w:val="5"/>
      </w:numPr>
      <w:snapToGrid w:val="0"/>
      <w:outlineLvl w:val="1"/>
    </w:pPr>
    <w:rPr>
      <w:rFonts w:eastAsia="Times New Roman" w:cs="Arial"/>
      <w:bCs/>
      <w:iCs/>
      <w:szCs w:val="24"/>
    </w:rPr>
  </w:style>
  <w:style w:type="paragraph" w:styleId="Heading3">
    <w:name w:val="heading 3"/>
    <w:basedOn w:val="Normal"/>
    <w:link w:val="Heading3Char"/>
    <w:semiHidden/>
    <w:unhideWhenUsed/>
    <w:qFormat/>
    <w:rsid w:val="00074F9F"/>
    <w:pPr>
      <w:numPr>
        <w:ilvl w:val="2"/>
        <w:numId w:val="5"/>
      </w:numPr>
      <w:snapToGrid w:val="0"/>
      <w:outlineLvl w:val="2"/>
    </w:pPr>
    <w:rPr>
      <w:rFonts w:eastAsia="Times New Roman" w:cs="Arial"/>
      <w:bCs/>
      <w:szCs w:val="24"/>
    </w:rPr>
  </w:style>
  <w:style w:type="paragraph" w:styleId="Heading4">
    <w:name w:val="heading 4"/>
    <w:basedOn w:val="Normal"/>
    <w:link w:val="Heading4Char"/>
    <w:semiHidden/>
    <w:unhideWhenUsed/>
    <w:qFormat/>
    <w:rsid w:val="00074F9F"/>
    <w:pPr>
      <w:numPr>
        <w:ilvl w:val="3"/>
        <w:numId w:val="5"/>
      </w:numPr>
      <w:snapToGrid w:val="0"/>
      <w:outlineLvl w:val="3"/>
    </w:pPr>
    <w:rPr>
      <w:rFonts w:eastAsia="Times New Roman" w:cs="Times New Roman"/>
      <w:bCs/>
      <w:szCs w:val="24"/>
    </w:rPr>
  </w:style>
  <w:style w:type="paragraph" w:styleId="Heading5">
    <w:name w:val="heading 5"/>
    <w:basedOn w:val="Normal"/>
    <w:next w:val="Normal"/>
    <w:link w:val="Heading5Char"/>
    <w:semiHidden/>
    <w:unhideWhenUsed/>
    <w:qFormat/>
    <w:rsid w:val="00074F9F"/>
    <w:pPr>
      <w:numPr>
        <w:ilvl w:val="4"/>
        <w:numId w:val="5"/>
      </w:numPr>
      <w:snapToGrid w:val="0"/>
      <w:spacing w:after="0"/>
      <w:outlineLvl w:val="4"/>
    </w:pPr>
    <w:rPr>
      <w:rFonts w:eastAsia="Times New Roman" w:cs="Times New Roman"/>
      <w:bCs/>
      <w:iCs/>
      <w:szCs w:val="24"/>
    </w:rPr>
  </w:style>
  <w:style w:type="paragraph" w:styleId="Heading6">
    <w:name w:val="heading 6"/>
    <w:basedOn w:val="Normal"/>
    <w:next w:val="Normal"/>
    <w:link w:val="Heading6Char"/>
    <w:semiHidden/>
    <w:unhideWhenUsed/>
    <w:qFormat/>
    <w:rsid w:val="00074F9F"/>
    <w:pPr>
      <w:numPr>
        <w:ilvl w:val="5"/>
        <w:numId w:val="5"/>
      </w:numPr>
      <w:snapToGrid w:val="0"/>
      <w:spacing w:after="0"/>
      <w:outlineLvl w:val="5"/>
    </w:pPr>
    <w:rPr>
      <w:rFonts w:eastAsia="Times New Roman" w:cs="Times New Roman"/>
      <w:bCs/>
    </w:rPr>
  </w:style>
  <w:style w:type="paragraph" w:styleId="Heading7">
    <w:name w:val="heading 7"/>
    <w:basedOn w:val="Normal"/>
    <w:next w:val="Normal"/>
    <w:link w:val="Heading7Char"/>
    <w:semiHidden/>
    <w:unhideWhenUsed/>
    <w:qFormat/>
    <w:rsid w:val="00074F9F"/>
    <w:pPr>
      <w:numPr>
        <w:ilvl w:val="6"/>
        <w:numId w:val="5"/>
      </w:numPr>
      <w:snapToGrid w:val="0"/>
      <w:spacing w:after="0"/>
      <w:outlineLvl w:val="6"/>
    </w:pPr>
    <w:rPr>
      <w:rFonts w:eastAsia="Times New Roman" w:cs="Times New Roman"/>
      <w:szCs w:val="24"/>
    </w:rPr>
  </w:style>
  <w:style w:type="paragraph" w:styleId="Heading8">
    <w:name w:val="heading 8"/>
    <w:basedOn w:val="Normal"/>
    <w:next w:val="Normal"/>
    <w:link w:val="Heading8Char"/>
    <w:semiHidden/>
    <w:unhideWhenUsed/>
    <w:qFormat/>
    <w:rsid w:val="00074F9F"/>
    <w:pPr>
      <w:numPr>
        <w:ilvl w:val="7"/>
        <w:numId w:val="5"/>
      </w:numPr>
      <w:snapToGrid w:val="0"/>
      <w:spacing w:after="0"/>
      <w:outlineLvl w:val="7"/>
    </w:pPr>
    <w:rPr>
      <w:rFonts w:eastAsia="Times New Roman" w:cs="Times New Roman"/>
      <w:iCs/>
      <w:szCs w:val="24"/>
    </w:rPr>
  </w:style>
  <w:style w:type="paragraph" w:styleId="Heading9">
    <w:name w:val="heading 9"/>
    <w:basedOn w:val="Normal"/>
    <w:next w:val="Normal"/>
    <w:link w:val="Heading9Char"/>
    <w:semiHidden/>
    <w:unhideWhenUsed/>
    <w:qFormat/>
    <w:rsid w:val="00074F9F"/>
    <w:pPr>
      <w:numPr>
        <w:ilvl w:val="8"/>
        <w:numId w:val="5"/>
      </w:numPr>
      <w:snapToGrid w:val="0"/>
      <w:spacing w:after="0"/>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WDefault">
    <w:name w:val="MW Default"/>
    <w:basedOn w:val="Normal"/>
    <w:link w:val="MWDefaultChar"/>
    <w:autoRedefine/>
    <w:qFormat/>
    <w:rsid w:val="00074F9F"/>
  </w:style>
  <w:style w:type="character" w:customStyle="1" w:styleId="MWDefaultChar">
    <w:name w:val="MW Default Char"/>
    <w:basedOn w:val="DefaultParagraphFont"/>
    <w:link w:val="MWDefault"/>
    <w:rsid w:val="00074F9F"/>
    <w:rPr>
      <w:rFonts w:ascii="Times New Roman" w:hAnsi="Times New Roman"/>
      <w:sz w:val="24"/>
    </w:rPr>
  </w:style>
  <w:style w:type="paragraph" w:styleId="NormalWeb">
    <w:name w:val="Normal (Web)"/>
    <w:basedOn w:val="Normal"/>
    <w:uiPriority w:val="99"/>
    <w:unhideWhenUsed/>
    <w:rsid w:val="00074F9F"/>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074F9F"/>
    <w:rPr>
      <w:b/>
      <w:bCs/>
    </w:rPr>
  </w:style>
  <w:style w:type="paragraph" w:styleId="PlainText">
    <w:name w:val="Plain Text"/>
    <w:basedOn w:val="Normal"/>
    <w:link w:val="PlainTextChar"/>
    <w:rsid w:val="00074F9F"/>
    <w:pPr>
      <w:widowControl w:val="0"/>
      <w:spacing w:after="0"/>
    </w:pPr>
    <w:rPr>
      <w:rFonts w:ascii="Courier New" w:eastAsia="Times New Roman" w:hAnsi="Courier New" w:cs="Times New Roman"/>
      <w:snapToGrid w:val="0"/>
      <w:sz w:val="20"/>
      <w:szCs w:val="20"/>
    </w:rPr>
  </w:style>
  <w:style w:type="character" w:customStyle="1" w:styleId="PlainTextChar">
    <w:name w:val="Plain Text Char"/>
    <w:basedOn w:val="DefaultParagraphFont"/>
    <w:link w:val="PlainText"/>
    <w:rsid w:val="00074F9F"/>
    <w:rPr>
      <w:rFonts w:ascii="Courier New" w:eastAsia="Times New Roman" w:hAnsi="Courier New" w:cs="Times New Roman"/>
      <w:snapToGrid w:val="0"/>
      <w:sz w:val="20"/>
      <w:szCs w:val="20"/>
    </w:rPr>
  </w:style>
  <w:style w:type="paragraph" w:styleId="ListParagraph">
    <w:name w:val="List Paragraph"/>
    <w:basedOn w:val="Normal"/>
    <w:uiPriority w:val="34"/>
    <w:qFormat/>
    <w:rsid w:val="00FC643C"/>
    <w:pPr>
      <w:ind w:left="720"/>
    </w:pPr>
  </w:style>
  <w:style w:type="paragraph" w:styleId="BalloonText">
    <w:name w:val="Balloon Text"/>
    <w:basedOn w:val="Normal"/>
    <w:link w:val="BalloonTextChar"/>
    <w:uiPriority w:val="99"/>
    <w:semiHidden/>
    <w:unhideWhenUsed/>
    <w:rsid w:val="00074F9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F9F"/>
    <w:rPr>
      <w:rFonts w:ascii="Tahoma" w:hAnsi="Tahoma" w:cs="Tahoma"/>
      <w:sz w:val="16"/>
      <w:szCs w:val="16"/>
    </w:rPr>
  </w:style>
  <w:style w:type="paragraph" w:styleId="Header">
    <w:name w:val="header"/>
    <w:basedOn w:val="Normal"/>
    <w:link w:val="HeaderChar"/>
    <w:uiPriority w:val="99"/>
    <w:unhideWhenUsed/>
    <w:rsid w:val="00074F9F"/>
    <w:pPr>
      <w:tabs>
        <w:tab w:val="center" w:pos="4680"/>
        <w:tab w:val="right" w:pos="9360"/>
      </w:tabs>
      <w:spacing w:after="0"/>
    </w:pPr>
  </w:style>
  <w:style w:type="character" w:customStyle="1" w:styleId="HeaderChar">
    <w:name w:val="Header Char"/>
    <w:basedOn w:val="DefaultParagraphFont"/>
    <w:link w:val="Header"/>
    <w:uiPriority w:val="99"/>
    <w:rsid w:val="00074F9F"/>
    <w:rPr>
      <w:rFonts w:ascii="Times New Roman" w:hAnsi="Times New Roman"/>
      <w:sz w:val="24"/>
    </w:rPr>
  </w:style>
  <w:style w:type="paragraph" w:styleId="Footer">
    <w:name w:val="footer"/>
    <w:basedOn w:val="Normal"/>
    <w:link w:val="FooterChar"/>
    <w:uiPriority w:val="99"/>
    <w:unhideWhenUsed/>
    <w:rsid w:val="00074F9F"/>
    <w:pPr>
      <w:tabs>
        <w:tab w:val="center" w:pos="4680"/>
        <w:tab w:val="right" w:pos="9360"/>
      </w:tabs>
      <w:spacing w:after="0"/>
    </w:pPr>
  </w:style>
  <w:style w:type="character" w:customStyle="1" w:styleId="FooterChar">
    <w:name w:val="Footer Char"/>
    <w:basedOn w:val="DefaultParagraphFont"/>
    <w:link w:val="Footer"/>
    <w:uiPriority w:val="99"/>
    <w:rsid w:val="00074F9F"/>
    <w:rPr>
      <w:rFonts w:ascii="Times New Roman" w:hAnsi="Times New Roman"/>
      <w:sz w:val="24"/>
    </w:rPr>
  </w:style>
  <w:style w:type="character" w:customStyle="1" w:styleId="Heading1Char">
    <w:name w:val="Heading 1 Char"/>
    <w:basedOn w:val="DefaultParagraphFont"/>
    <w:link w:val="Heading1"/>
    <w:rsid w:val="00074F9F"/>
    <w:rPr>
      <w:rFonts w:ascii="Times New Roman" w:eastAsia="Times New Roman" w:hAnsi="Times New Roman" w:cs="Arial"/>
      <w:b/>
      <w:bCs/>
      <w:sz w:val="24"/>
      <w:szCs w:val="24"/>
    </w:rPr>
  </w:style>
  <w:style w:type="character" w:customStyle="1" w:styleId="Heading2Char">
    <w:name w:val="Heading 2 Char"/>
    <w:basedOn w:val="DefaultParagraphFont"/>
    <w:link w:val="Heading2"/>
    <w:semiHidden/>
    <w:rsid w:val="00074F9F"/>
    <w:rPr>
      <w:rFonts w:ascii="Times New Roman" w:eastAsia="Times New Roman" w:hAnsi="Times New Roman" w:cs="Arial"/>
      <w:bCs/>
      <w:iCs/>
      <w:sz w:val="24"/>
      <w:szCs w:val="24"/>
    </w:rPr>
  </w:style>
  <w:style w:type="character" w:customStyle="1" w:styleId="Heading3Char">
    <w:name w:val="Heading 3 Char"/>
    <w:basedOn w:val="DefaultParagraphFont"/>
    <w:link w:val="Heading3"/>
    <w:semiHidden/>
    <w:rsid w:val="00074F9F"/>
    <w:rPr>
      <w:rFonts w:ascii="Times New Roman" w:eastAsia="Times New Roman" w:hAnsi="Times New Roman" w:cs="Arial"/>
      <w:bCs/>
      <w:sz w:val="24"/>
      <w:szCs w:val="24"/>
    </w:rPr>
  </w:style>
  <w:style w:type="character" w:customStyle="1" w:styleId="Heading4Char">
    <w:name w:val="Heading 4 Char"/>
    <w:basedOn w:val="DefaultParagraphFont"/>
    <w:link w:val="Heading4"/>
    <w:semiHidden/>
    <w:rsid w:val="00074F9F"/>
    <w:rPr>
      <w:rFonts w:ascii="Times New Roman" w:eastAsia="Times New Roman" w:hAnsi="Times New Roman" w:cs="Times New Roman"/>
      <w:bCs/>
      <w:sz w:val="24"/>
      <w:szCs w:val="24"/>
    </w:rPr>
  </w:style>
  <w:style w:type="character" w:customStyle="1" w:styleId="Heading5Char">
    <w:name w:val="Heading 5 Char"/>
    <w:basedOn w:val="DefaultParagraphFont"/>
    <w:link w:val="Heading5"/>
    <w:semiHidden/>
    <w:rsid w:val="00074F9F"/>
    <w:rPr>
      <w:rFonts w:ascii="Times New Roman" w:eastAsia="Times New Roman" w:hAnsi="Times New Roman" w:cs="Times New Roman"/>
      <w:bCs/>
      <w:iCs/>
      <w:sz w:val="24"/>
      <w:szCs w:val="24"/>
    </w:rPr>
  </w:style>
  <w:style w:type="character" w:customStyle="1" w:styleId="Heading6Char">
    <w:name w:val="Heading 6 Char"/>
    <w:basedOn w:val="DefaultParagraphFont"/>
    <w:link w:val="Heading6"/>
    <w:semiHidden/>
    <w:rsid w:val="00074F9F"/>
    <w:rPr>
      <w:rFonts w:ascii="Times New Roman" w:eastAsia="Times New Roman" w:hAnsi="Times New Roman" w:cs="Times New Roman"/>
      <w:bCs/>
      <w:sz w:val="24"/>
    </w:rPr>
  </w:style>
  <w:style w:type="character" w:customStyle="1" w:styleId="Heading7Char">
    <w:name w:val="Heading 7 Char"/>
    <w:basedOn w:val="DefaultParagraphFont"/>
    <w:link w:val="Heading7"/>
    <w:semiHidden/>
    <w:rsid w:val="00074F9F"/>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074F9F"/>
    <w:rPr>
      <w:rFonts w:ascii="Times New Roman" w:eastAsia="Times New Roman" w:hAnsi="Times New Roman" w:cs="Times New Roman"/>
      <w:iCs/>
      <w:sz w:val="24"/>
      <w:szCs w:val="24"/>
    </w:rPr>
  </w:style>
  <w:style w:type="character" w:customStyle="1" w:styleId="Heading9Char">
    <w:name w:val="Heading 9 Char"/>
    <w:basedOn w:val="DefaultParagraphFont"/>
    <w:link w:val="Heading9"/>
    <w:semiHidden/>
    <w:rsid w:val="00074F9F"/>
    <w:rPr>
      <w:rFonts w:ascii="Times New Roman" w:eastAsia="Times New Roman" w:hAnsi="Times New Roman" w:cs="Arial"/>
      <w:sz w:val="24"/>
    </w:rPr>
  </w:style>
  <w:style w:type="paragraph" w:styleId="BodyTextIndent">
    <w:name w:val="Body Text Indent"/>
    <w:basedOn w:val="Normal"/>
    <w:link w:val="BodyTextIndentChar"/>
    <w:rsid w:val="00E90E8F"/>
    <w:pPr>
      <w:spacing w:after="0"/>
      <w:ind w:firstLine="720"/>
    </w:pPr>
    <w:rPr>
      <w:rFonts w:eastAsia="Times New Roman" w:cs="Times New Roman"/>
      <w:szCs w:val="20"/>
    </w:rPr>
  </w:style>
  <w:style w:type="character" w:customStyle="1" w:styleId="BodyTextIndentChar">
    <w:name w:val="Body Text Indent Char"/>
    <w:basedOn w:val="DefaultParagraphFont"/>
    <w:link w:val="BodyTextIndent"/>
    <w:rsid w:val="00E90E8F"/>
    <w:rPr>
      <w:rFonts w:ascii="Times New Roman" w:eastAsia="Times New Roman" w:hAnsi="Times New Roman" w:cs="Times New Roman"/>
      <w:sz w:val="24"/>
      <w:szCs w:val="20"/>
    </w:rPr>
  </w:style>
  <w:style w:type="paragraph" w:styleId="BodyTextIndent3">
    <w:name w:val="Body Text Indent 3"/>
    <w:basedOn w:val="Normal"/>
    <w:link w:val="BodyTextIndent3Char"/>
    <w:rsid w:val="00275E32"/>
    <w:pPr>
      <w:ind w:left="360"/>
    </w:pPr>
    <w:rPr>
      <w:rFonts w:ascii="Bookman Old Style" w:eastAsia="Times New Roman" w:hAnsi="Bookman Old Style" w:cs="Times New Roman"/>
      <w:sz w:val="16"/>
      <w:szCs w:val="16"/>
    </w:rPr>
  </w:style>
  <w:style w:type="character" w:customStyle="1" w:styleId="BodyTextIndent3Char">
    <w:name w:val="Body Text Indent 3 Char"/>
    <w:basedOn w:val="DefaultParagraphFont"/>
    <w:link w:val="BodyTextIndent3"/>
    <w:rsid w:val="00275E32"/>
    <w:rPr>
      <w:rFonts w:ascii="Bookman Old Style" w:eastAsia="Times New Roman" w:hAnsi="Bookman Old Style" w:cs="Times New Roman"/>
      <w:sz w:val="16"/>
      <w:szCs w:val="16"/>
    </w:rPr>
  </w:style>
  <w:style w:type="character" w:styleId="CommentReference">
    <w:name w:val="annotation reference"/>
    <w:basedOn w:val="DefaultParagraphFont"/>
    <w:uiPriority w:val="99"/>
    <w:semiHidden/>
    <w:unhideWhenUsed/>
    <w:rsid w:val="009C1B12"/>
    <w:rPr>
      <w:sz w:val="16"/>
      <w:szCs w:val="16"/>
    </w:rPr>
  </w:style>
  <w:style w:type="paragraph" w:styleId="CommentText">
    <w:name w:val="annotation text"/>
    <w:basedOn w:val="Normal"/>
    <w:link w:val="CommentTextChar"/>
    <w:uiPriority w:val="99"/>
    <w:semiHidden/>
    <w:unhideWhenUsed/>
    <w:rsid w:val="009C1B12"/>
    <w:rPr>
      <w:sz w:val="20"/>
      <w:szCs w:val="20"/>
    </w:rPr>
  </w:style>
  <w:style w:type="character" w:customStyle="1" w:styleId="CommentTextChar">
    <w:name w:val="Comment Text Char"/>
    <w:basedOn w:val="DefaultParagraphFont"/>
    <w:link w:val="CommentText"/>
    <w:uiPriority w:val="99"/>
    <w:semiHidden/>
    <w:rsid w:val="009C1B1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C1B12"/>
    <w:rPr>
      <w:b/>
      <w:bCs/>
    </w:rPr>
  </w:style>
  <w:style w:type="character" w:customStyle="1" w:styleId="CommentSubjectChar">
    <w:name w:val="Comment Subject Char"/>
    <w:basedOn w:val="CommentTextChar"/>
    <w:link w:val="CommentSubject"/>
    <w:uiPriority w:val="99"/>
    <w:semiHidden/>
    <w:rsid w:val="009C1B12"/>
    <w:rPr>
      <w:rFonts w:ascii="Times New Roman" w:hAnsi="Times New Roman"/>
      <w:b/>
      <w:bCs/>
      <w:sz w:val="20"/>
      <w:szCs w:val="20"/>
    </w:rPr>
  </w:style>
  <w:style w:type="paragraph" w:customStyle="1" w:styleId="SCMx1">
    <w:name w:val="SCMx1"/>
    <w:uiPriority w:val="7"/>
    <w:qFormat/>
    <w:rsid w:val="00A23BF5"/>
    <w:pPr>
      <w:numPr>
        <w:numId w:val="17"/>
      </w:numPr>
      <w:spacing w:before="160" w:after="0"/>
      <w:outlineLvl w:val="0"/>
    </w:pPr>
    <w:rPr>
      <w:rFonts w:ascii="Arial" w:eastAsia="Times New Roman" w:hAnsi="Arial" w:cs="Times New Roman"/>
      <w:sz w:val="20"/>
      <w:szCs w:val="24"/>
    </w:rPr>
  </w:style>
  <w:style w:type="paragraph" w:customStyle="1" w:styleId="SCMx2">
    <w:name w:val="SCMx2"/>
    <w:uiPriority w:val="7"/>
    <w:qFormat/>
    <w:rsid w:val="00A23BF5"/>
    <w:pPr>
      <w:numPr>
        <w:ilvl w:val="1"/>
        <w:numId w:val="17"/>
      </w:numPr>
      <w:spacing w:after="0"/>
      <w:outlineLvl w:val="1"/>
    </w:pPr>
    <w:rPr>
      <w:rFonts w:ascii="Arial" w:eastAsia="Times New Roman" w:hAnsi="Arial" w:cs="Times New Roman"/>
      <w:sz w:val="20"/>
      <w:szCs w:val="24"/>
    </w:rPr>
  </w:style>
  <w:style w:type="paragraph" w:customStyle="1" w:styleId="SCMx3">
    <w:name w:val="SCMx3"/>
    <w:uiPriority w:val="7"/>
    <w:qFormat/>
    <w:rsid w:val="00A23BF5"/>
    <w:pPr>
      <w:numPr>
        <w:ilvl w:val="2"/>
        <w:numId w:val="17"/>
      </w:numPr>
      <w:spacing w:before="80" w:after="0"/>
    </w:pPr>
    <w:rPr>
      <w:rFonts w:ascii="Arial" w:eastAsia="Times New Roman" w:hAnsi="Arial" w:cs="Times New Roman"/>
      <w:sz w:val="20"/>
      <w:szCs w:val="24"/>
    </w:rPr>
  </w:style>
  <w:style w:type="character" w:customStyle="1" w:styleId="enumxml">
    <w:name w:val="enumxml"/>
    <w:basedOn w:val="DefaultParagraphFont"/>
    <w:rsid w:val="007501EB"/>
  </w:style>
  <w:style w:type="character" w:styleId="Hyperlink">
    <w:name w:val="Hyperlink"/>
    <w:basedOn w:val="DefaultParagraphFont"/>
    <w:uiPriority w:val="99"/>
    <w:semiHidden/>
    <w:unhideWhenUsed/>
    <w:rsid w:val="007501EB"/>
    <w:rPr>
      <w:color w:val="0000FF"/>
      <w:u w:val="single"/>
    </w:rPr>
  </w:style>
  <w:style w:type="paragraph" w:customStyle="1" w:styleId="indentfirstlevel">
    <w:name w:val="indent_first_level"/>
    <w:basedOn w:val="Normal"/>
    <w:rsid w:val="007501EB"/>
    <w:pPr>
      <w:spacing w:before="100" w:beforeAutospacing="1" w:after="100" w:afterAutospacing="1"/>
      <w:jc w:val="left"/>
    </w:pPr>
    <w:rPr>
      <w:rFonts w:eastAsia="Times New Roman" w:cs="Times New Roman"/>
      <w:szCs w:val="24"/>
    </w:rPr>
  </w:style>
  <w:style w:type="paragraph" w:styleId="Revision">
    <w:name w:val="Revision"/>
    <w:hidden/>
    <w:uiPriority w:val="99"/>
    <w:semiHidden/>
    <w:rsid w:val="009C1876"/>
    <w:pPr>
      <w:spacing w:before="0" w:after="0"/>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940485">
      <w:bodyDiv w:val="1"/>
      <w:marLeft w:val="0"/>
      <w:marRight w:val="0"/>
      <w:marTop w:val="0"/>
      <w:marBottom w:val="0"/>
      <w:divBdr>
        <w:top w:val="none" w:sz="0" w:space="0" w:color="auto"/>
        <w:left w:val="none" w:sz="0" w:space="0" w:color="auto"/>
        <w:bottom w:val="none" w:sz="0" w:space="0" w:color="auto"/>
        <w:right w:val="none" w:sz="0" w:space="0" w:color="auto"/>
      </w:divBdr>
    </w:div>
    <w:div w:id="88701994">
      <w:bodyDiv w:val="1"/>
      <w:marLeft w:val="0"/>
      <w:marRight w:val="0"/>
      <w:marTop w:val="0"/>
      <w:marBottom w:val="0"/>
      <w:divBdr>
        <w:top w:val="none" w:sz="0" w:space="0" w:color="auto"/>
        <w:left w:val="none" w:sz="0" w:space="0" w:color="auto"/>
        <w:bottom w:val="none" w:sz="0" w:space="0" w:color="auto"/>
        <w:right w:val="none" w:sz="0" w:space="0" w:color="auto"/>
      </w:divBdr>
    </w:div>
    <w:div w:id="408161803">
      <w:bodyDiv w:val="1"/>
      <w:marLeft w:val="0"/>
      <w:marRight w:val="0"/>
      <w:marTop w:val="0"/>
      <w:marBottom w:val="0"/>
      <w:divBdr>
        <w:top w:val="none" w:sz="0" w:space="0" w:color="auto"/>
        <w:left w:val="none" w:sz="0" w:space="0" w:color="auto"/>
        <w:bottom w:val="none" w:sz="0" w:space="0" w:color="auto"/>
        <w:right w:val="none" w:sz="0" w:space="0" w:color="auto"/>
      </w:divBdr>
      <w:divsChild>
        <w:div w:id="1560939370">
          <w:marLeft w:val="0"/>
          <w:marRight w:val="0"/>
          <w:marTop w:val="0"/>
          <w:marBottom w:val="0"/>
          <w:divBdr>
            <w:top w:val="none" w:sz="0" w:space="0" w:color="auto"/>
            <w:left w:val="none" w:sz="0" w:space="0" w:color="auto"/>
            <w:bottom w:val="none" w:sz="0" w:space="0" w:color="auto"/>
            <w:right w:val="none" w:sz="0" w:space="0" w:color="auto"/>
          </w:divBdr>
        </w:div>
        <w:div w:id="2138403342">
          <w:marLeft w:val="0"/>
          <w:marRight w:val="0"/>
          <w:marTop w:val="0"/>
          <w:marBottom w:val="0"/>
          <w:divBdr>
            <w:top w:val="none" w:sz="0" w:space="0" w:color="auto"/>
            <w:left w:val="none" w:sz="0" w:space="0" w:color="auto"/>
            <w:bottom w:val="none" w:sz="0" w:space="0" w:color="auto"/>
            <w:right w:val="none" w:sz="0" w:space="0" w:color="auto"/>
          </w:divBdr>
        </w:div>
        <w:div w:id="725836945">
          <w:marLeft w:val="0"/>
          <w:marRight w:val="0"/>
          <w:marTop w:val="0"/>
          <w:marBottom w:val="0"/>
          <w:divBdr>
            <w:top w:val="none" w:sz="0" w:space="0" w:color="auto"/>
            <w:left w:val="none" w:sz="0" w:space="0" w:color="auto"/>
            <w:bottom w:val="none" w:sz="0" w:space="0" w:color="auto"/>
            <w:right w:val="none" w:sz="0" w:space="0" w:color="auto"/>
          </w:divBdr>
        </w:div>
        <w:div w:id="585068371">
          <w:marLeft w:val="0"/>
          <w:marRight w:val="0"/>
          <w:marTop w:val="0"/>
          <w:marBottom w:val="0"/>
          <w:divBdr>
            <w:top w:val="none" w:sz="0" w:space="0" w:color="auto"/>
            <w:left w:val="none" w:sz="0" w:space="0" w:color="auto"/>
            <w:bottom w:val="none" w:sz="0" w:space="0" w:color="auto"/>
            <w:right w:val="none" w:sz="0" w:space="0" w:color="auto"/>
          </w:divBdr>
        </w:div>
        <w:div w:id="1691757316">
          <w:marLeft w:val="0"/>
          <w:marRight w:val="0"/>
          <w:marTop w:val="0"/>
          <w:marBottom w:val="0"/>
          <w:divBdr>
            <w:top w:val="none" w:sz="0" w:space="0" w:color="auto"/>
            <w:left w:val="none" w:sz="0" w:space="0" w:color="auto"/>
            <w:bottom w:val="none" w:sz="0" w:space="0" w:color="auto"/>
            <w:right w:val="none" w:sz="0" w:space="0" w:color="auto"/>
          </w:divBdr>
        </w:div>
        <w:div w:id="1303199220">
          <w:marLeft w:val="0"/>
          <w:marRight w:val="0"/>
          <w:marTop w:val="0"/>
          <w:marBottom w:val="0"/>
          <w:divBdr>
            <w:top w:val="none" w:sz="0" w:space="0" w:color="auto"/>
            <w:left w:val="none" w:sz="0" w:space="0" w:color="auto"/>
            <w:bottom w:val="none" w:sz="0" w:space="0" w:color="auto"/>
            <w:right w:val="none" w:sz="0" w:space="0" w:color="auto"/>
          </w:divBdr>
        </w:div>
        <w:div w:id="1212376318">
          <w:marLeft w:val="0"/>
          <w:marRight w:val="0"/>
          <w:marTop w:val="0"/>
          <w:marBottom w:val="0"/>
          <w:divBdr>
            <w:top w:val="none" w:sz="0" w:space="0" w:color="auto"/>
            <w:left w:val="none" w:sz="0" w:space="0" w:color="auto"/>
            <w:bottom w:val="none" w:sz="0" w:space="0" w:color="auto"/>
            <w:right w:val="none" w:sz="0" w:space="0" w:color="auto"/>
          </w:divBdr>
        </w:div>
        <w:div w:id="16394220">
          <w:marLeft w:val="0"/>
          <w:marRight w:val="0"/>
          <w:marTop w:val="0"/>
          <w:marBottom w:val="0"/>
          <w:divBdr>
            <w:top w:val="none" w:sz="0" w:space="0" w:color="auto"/>
            <w:left w:val="none" w:sz="0" w:space="0" w:color="auto"/>
            <w:bottom w:val="none" w:sz="0" w:space="0" w:color="auto"/>
            <w:right w:val="none" w:sz="0" w:space="0" w:color="auto"/>
          </w:divBdr>
        </w:div>
        <w:div w:id="375004756">
          <w:marLeft w:val="0"/>
          <w:marRight w:val="0"/>
          <w:marTop w:val="0"/>
          <w:marBottom w:val="0"/>
          <w:divBdr>
            <w:top w:val="none" w:sz="0" w:space="0" w:color="auto"/>
            <w:left w:val="none" w:sz="0" w:space="0" w:color="auto"/>
            <w:bottom w:val="none" w:sz="0" w:space="0" w:color="auto"/>
            <w:right w:val="none" w:sz="0" w:space="0" w:color="auto"/>
          </w:divBdr>
        </w:div>
        <w:div w:id="295373142">
          <w:marLeft w:val="0"/>
          <w:marRight w:val="0"/>
          <w:marTop w:val="0"/>
          <w:marBottom w:val="0"/>
          <w:divBdr>
            <w:top w:val="none" w:sz="0" w:space="0" w:color="auto"/>
            <w:left w:val="none" w:sz="0" w:space="0" w:color="auto"/>
            <w:bottom w:val="none" w:sz="0" w:space="0" w:color="auto"/>
            <w:right w:val="none" w:sz="0" w:space="0" w:color="auto"/>
          </w:divBdr>
        </w:div>
        <w:div w:id="1035885482">
          <w:marLeft w:val="0"/>
          <w:marRight w:val="0"/>
          <w:marTop w:val="0"/>
          <w:marBottom w:val="0"/>
          <w:divBdr>
            <w:top w:val="none" w:sz="0" w:space="0" w:color="auto"/>
            <w:left w:val="none" w:sz="0" w:space="0" w:color="auto"/>
            <w:bottom w:val="none" w:sz="0" w:space="0" w:color="auto"/>
            <w:right w:val="none" w:sz="0" w:space="0" w:color="auto"/>
          </w:divBdr>
        </w:div>
        <w:div w:id="480731151">
          <w:marLeft w:val="0"/>
          <w:marRight w:val="0"/>
          <w:marTop w:val="0"/>
          <w:marBottom w:val="0"/>
          <w:divBdr>
            <w:top w:val="none" w:sz="0" w:space="0" w:color="auto"/>
            <w:left w:val="none" w:sz="0" w:space="0" w:color="auto"/>
            <w:bottom w:val="none" w:sz="0" w:space="0" w:color="auto"/>
            <w:right w:val="none" w:sz="0" w:space="0" w:color="auto"/>
          </w:divBdr>
        </w:div>
        <w:div w:id="1262105567">
          <w:marLeft w:val="0"/>
          <w:marRight w:val="0"/>
          <w:marTop w:val="0"/>
          <w:marBottom w:val="0"/>
          <w:divBdr>
            <w:top w:val="none" w:sz="0" w:space="0" w:color="auto"/>
            <w:left w:val="none" w:sz="0" w:space="0" w:color="auto"/>
            <w:bottom w:val="none" w:sz="0" w:space="0" w:color="auto"/>
            <w:right w:val="none" w:sz="0" w:space="0" w:color="auto"/>
          </w:divBdr>
        </w:div>
        <w:div w:id="2007858208">
          <w:marLeft w:val="0"/>
          <w:marRight w:val="0"/>
          <w:marTop w:val="0"/>
          <w:marBottom w:val="0"/>
          <w:divBdr>
            <w:top w:val="none" w:sz="0" w:space="0" w:color="auto"/>
            <w:left w:val="none" w:sz="0" w:space="0" w:color="auto"/>
            <w:bottom w:val="none" w:sz="0" w:space="0" w:color="auto"/>
            <w:right w:val="none" w:sz="0" w:space="0" w:color="auto"/>
          </w:divBdr>
        </w:div>
        <w:div w:id="1915890591">
          <w:marLeft w:val="0"/>
          <w:marRight w:val="0"/>
          <w:marTop w:val="0"/>
          <w:marBottom w:val="0"/>
          <w:divBdr>
            <w:top w:val="none" w:sz="0" w:space="0" w:color="auto"/>
            <w:left w:val="none" w:sz="0" w:space="0" w:color="auto"/>
            <w:bottom w:val="none" w:sz="0" w:space="0" w:color="auto"/>
            <w:right w:val="none" w:sz="0" w:space="0" w:color="auto"/>
          </w:divBdr>
        </w:div>
        <w:div w:id="130484529">
          <w:marLeft w:val="0"/>
          <w:marRight w:val="0"/>
          <w:marTop w:val="0"/>
          <w:marBottom w:val="0"/>
          <w:divBdr>
            <w:top w:val="none" w:sz="0" w:space="0" w:color="auto"/>
            <w:left w:val="none" w:sz="0" w:space="0" w:color="auto"/>
            <w:bottom w:val="none" w:sz="0" w:space="0" w:color="auto"/>
            <w:right w:val="none" w:sz="0" w:space="0" w:color="auto"/>
          </w:divBdr>
        </w:div>
        <w:div w:id="465708081">
          <w:marLeft w:val="0"/>
          <w:marRight w:val="0"/>
          <w:marTop w:val="0"/>
          <w:marBottom w:val="0"/>
          <w:divBdr>
            <w:top w:val="none" w:sz="0" w:space="0" w:color="auto"/>
            <w:left w:val="none" w:sz="0" w:space="0" w:color="auto"/>
            <w:bottom w:val="none" w:sz="0" w:space="0" w:color="auto"/>
            <w:right w:val="none" w:sz="0" w:space="0" w:color="auto"/>
          </w:divBdr>
        </w:div>
        <w:div w:id="2060741750">
          <w:marLeft w:val="0"/>
          <w:marRight w:val="0"/>
          <w:marTop w:val="0"/>
          <w:marBottom w:val="0"/>
          <w:divBdr>
            <w:top w:val="none" w:sz="0" w:space="0" w:color="auto"/>
            <w:left w:val="none" w:sz="0" w:space="0" w:color="auto"/>
            <w:bottom w:val="none" w:sz="0" w:space="0" w:color="auto"/>
            <w:right w:val="none" w:sz="0" w:space="0" w:color="auto"/>
          </w:divBdr>
        </w:div>
        <w:div w:id="2249672">
          <w:marLeft w:val="0"/>
          <w:marRight w:val="0"/>
          <w:marTop w:val="0"/>
          <w:marBottom w:val="0"/>
          <w:divBdr>
            <w:top w:val="none" w:sz="0" w:space="0" w:color="auto"/>
            <w:left w:val="none" w:sz="0" w:space="0" w:color="auto"/>
            <w:bottom w:val="none" w:sz="0" w:space="0" w:color="auto"/>
            <w:right w:val="none" w:sz="0" w:space="0" w:color="auto"/>
          </w:divBdr>
        </w:div>
        <w:div w:id="1213687921">
          <w:marLeft w:val="0"/>
          <w:marRight w:val="0"/>
          <w:marTop w:val="0"/>
          <w:marBottom w:val="0"/>
          <w:divBdr>
            <w:top w:val="none" w:sz="0" w:space="0" w:color="auto"/>
            <w:left w:val="none" w:sz="0" w:space="0" w:color="auto"/>
            <w:bottom w:val="none" w:sz="0" w:space="0" w:color="auto"/>
            <w:right w:val="none" w:sz="0" w:space="0" w:color="auto"/>
          </w:divBdr>
        </w:div>
        <w:div w:id="1261795358">
          <w:marLeft w:val="0"/>
          <w:marRight w:val="0"/>
          <w:marTop w:val="0"/>
          <w:marBottom w:val="0"/>
          <w:divBdr>
            <w:top w:val="none" w:sz="0" w:space="0" w:color="auto"/>
            <w:left w:val="none" w:sz="0" w:space="0" w:color="auto"/>
            <w:bottom w:val="none" w:sz="0" w:space="0" w:color="auto"/>
            <w:right w:val="none" w:sz="0" w:space="0" w:color="auto"/>
          </w:divBdr>
        </w:div>
        <w:div w:id="1387147941">
          <w:marLeft w:val="0"/>
          <w:marRight w:val="0"/>
          <w:marTop w:val="0"/>
          <w:marBottom w:val="0"/>
          <w:divBdr>
            <w:top w:val="none" w:sz="0" w:space="0" w:color="auto"/>
            <w:left w:val="none" w:sz="0" w:space="0" w:color="auto"/>
            <w:bottom w:val="none" w:sz="0" w:space="0" w:color="auto"/>
            <w:right w:val="none" w:sz="0" w:space="0" w:color="auto"/>
          </w:divBdr>
        </w:div>
        <w:div w:id="1806849755">
          <w:marLeft w:val="0"/>
          <w:marRight w:val="0"/>
          <w:marTop w:val="0"/>
          <w:marBottom w:val="0"/>
          <w:divBdr>
            <w:top w:val="none" w:sz="0" w:space="0" w:color="auto"/>
            <w:left w:val="none" w:sz="0" w:space="0" w:color="auto"/>
            <w:bottom w:val="none" w:sz="0" w:space="0" w:color="auto"/>
            <w:right w:val="none" w:sz="0" w:space="0" w:color="auto"/>
          </w:divBdr>
        </w:div>
        <w:div w:id="707681596">
          <w:marLeft w:val="0"/>
          <w:marRight w:val="0"/>
          <w:marTop w:val="0"/>
          <w:marBottom w:val="0"/>
          <w:divBdr>
            <w:top w:val="none" w:sz="0" w:space="0" w:color="auto"/>
            <w:left w:val="none" w:sz="0" w:space="0" w:color="auto"/>
            <w:bottom w:val="none" w:sz="0" w:space="0" w:color="auto"/>
            <w:right w:val="none" w:sz="0" w:space="0" w:color="auto"/>
          </w:divBdr>
        </w:div>
        <w:div w:id="1632783236">
          <w:marLeft w:val="0"/>
          <w:marRight w:val="0"/>
          <w:marTop w:val="0"/>
          <w:marBottom w:val="0"/>
          <w:divBdr>
            <w:top w:val="none" w:sz="0" w:space="0" w:color="auto"/>
            <w:left w:val="none" w:sz="0" w:space="0" w:color="auto"/>
            <w:bottom w:val="none" w:sz="0" w:space="0" w:color="auto"/>
            <w:right w:val="none" w:sz="0" w:space="0" w:color="auto"/>
          </w:divBdr>
        </w:div>
        <w:div w:id="729573553">
          <w:marLeft w:val="0"/>
          <w:marRight w:val="0"/>
          <w:marTop w:val="0"/>
          <w:marBottom w:val="0"/>
          <w:divBdr>
            <w:top w:val="none" w:sz="0" w:space="0" w:color="auto"/>
            <w:left w:val="none" w:sz="0" w:space="0" w:color="auto"/>
            <w:bottom w:val="none" w:sz="0" w:space="0" w:color="auto"/>
            <w:right w:val="none" w:sz="0" w:space="0" w:color="auto"/>
          </w:divBdr>
        </w:div>
        <w:div w:id="83843518">
          <w:marLeft w:val="0"/>
          <w:marRight w:val="0"/>
          <w:marTop w:val="0"/>
          <w:marBottom w:val="0"/>
          <w:divBdr>
            <w:top w:val="none" w:sz="0" w:space="0" w:color="auto"/>
            <w:left w:val="none" w:sz="0" w:space="0" w:color="auto"/>
            <w:bottom w:val="none" w:sz="0" w:space="0" w:color="auto"/>
            <w:right w:val="none" w:sz="0" w:space="0" w:color="auto"/>
          </w:divBdr>
        </w:div>
        <w:div w:id="1660961291">
          <w:marLeft w:val="0"/>
          <w:marRight w:val="0"/>
          <w:marTop w:val="0"/>
          <w:marBottom w:val="0"/>
          <w:divBdr>
            <w:top w:val="none" w:sz="0" w:space="0" w:color="auto"/>
            <w:left w:val="none" w:sz="0" w:space="0" w:color="auto"/>
            <w:bottom w:val="none" w:sz="0" w:space="0" w:color="auto"/>
            <w:right w:val="none" w:sz="0" w:space="0" w:color="auto"/>
          </w:divBdr>
        </w:div>
        <w:div w:id="1071928981">
          <w:marLeft w:val="0"/>
          <w:marRight w:val="0"/>
          <w:marTop w:val="0"/>
          <w:marBottom w:val="0"/>
          <w:divBdr>
            <w:top w:val="none" w:sz="0" w:space="0" w:color="auto"/>
            <w:left w:val="none" w:sz="0" w:space="0" w:color="auto"/>
            <w:bottom w:val="none" w:sz="0" w:space="0" w:color="auto"/>
            <w:right w:val="none" w:sz="0" w:space="0" w:color="auto"/>
          </w:divBdr>
        </w:div>
        <w:div w:id="643703217">
          <w:marLeft w:val="0"/>
          <w:marRight w:val="0"/>
          <w:marTop w:val="0"/>
          <w:marBottom w:val="0"/>
          <w:divBdr>
            <w:top w:val="none" w:sz="0" w:space="0" w:color="auto"/>
            <w:left w:val="none" w:sz="0" w:space="0" w:color="auto"/>
            <w:bottom w:val="none" w:sz="0" w:space="0" w:color="auto"/>
            <w:right w:val="none" w:sz="0" w:space="0" w:color="auto"/>
          </w:divBdr>
        </w:div>
        <w:div w:id="153230099">
          <w:marLeft w:val="0"/>
          <w:marRight w:val="0"/>
          <w:marTop w:val="0"/>
          <w:marBottom w:val="0"/>
          <w:divBdr>
            <w:top w:val="none" w:sz="0" w:space="0" w:color="auto"/>
            <w:left w:val="none" w:sz="0" w:space="0" w:color="auto"/>
            <w:bottom w:val="none" w:sz="0" w:space="0" w:color="auto"/>
            <w:right w:val="none" w:sz="0" w:space="0" w:color="auto"/>
          </w:divBdr>
        </w:div>
        <w:div w:id="904145168">
          <w:marLeft w:val="0"/>
          <w:marRight w:val="0"/>
          <w:marTop w:val="0"/>
          <w:marBottom w:val="0"/>
          <w:divBdr>
            <w:top w:val="none" w:sz="0" w:space="0" w:color="auto"/>
            <w:left w:val="none" w:sz="0" w:space="0" w:color="auto"/>
            <w:bottom w:val="none" w:sz="0" w:space="0" w:color="auto"/>
            <w:right w:val="none" w:sz="0" w:space="0" w:color="auto"/>
          </w:divBdr>
        </w:div>
        <w:div w:id="1421415586">
          <w:marLeft w:val="0"/>
          <w:marRight w:val="0"/>
          <w:marTop w:val="0"/>
          <w:marBottom w:val="0"/>
          <w:divBdr>
            <w:top w:val="none" w:sz="0" w:space="0" w:color="auto"/>
            <w:left w:val="none" w:sz="0" w:space="0" w:color="auto"/>
            <w:bottom w:val="none" w:sz="0" w:space="0" w:color="auto"/>
            <w:right w:val="none" w:sz="0" w:space="0" w:color="auto"/>
          </w:divBdr>
        </w:div>
        <w:div w:id="677076687">
          <w:marLeft w:val="0"/>
          <w:marRight w:val="0"/>
          <w:marTop w:val="0"/>
          <w:marBottom w:val="0"/>
          <w:divBdr>
            <w:top w:val="none" w:sz="0" w:space="0" w:color="auto"/>
            <w:left w:val="none" w:sz="0" w:space="0" w:color="auto"/>
            <w:bottom w:val="none" w:sz="0" w:space="0" w:color="auto"/>
            <w:right w:val="none" w:sz="0" w:space="0" w:color="auto"/>
          </w:divBdr>
        </w:div>
        <w:div w:id="1066956764">
          <w:marLeft w:val="0"/>
          <w:marRight w:val="0"/>
          <w:marTop w:val="0"/>
          <w:marBottom w:val="0"/>
          <w:divBdr>
            <w:top w:val="none" w:sz="0" w:space="0" w:color="auto"/>
            <w:left w:val="none" w:sz="0" w:space="0" w:color="auto"/>
            <w:bottom w:val="none" w:sz="0" w:space="0" w:color="auto"/>
            <w:right w:val="none" w:sz="0" w:space="0" w:color="auto"/>
          </w:divBdr>
        </w:div>
        <w:div w:id="1586646342">
          <w:marLeft w:val="0"/>
          <w:marRight w:val="0"/>
          <w:marTop w:val="0"/>
          <w:marBottom w:val="0"/>
          <w:divBdr>
            <w:top w:val="none" w:sz="0" w:space="0" w:color="auto"/>
            <w:left w:val="none" w:sz="0" w:space="0" w:color="auto"/>
            <w:bottom w:val="none" w:sz="0" w:space="0" w:color="auto"/>
            <w:right w:val="none" w:sz="0" w:space="0" w:color="auto"/>
          </w:divBdr>
        </w:div>
        <w:div w:id="78451049">
          <w:marLeft w:val="0"/>
          <w:marRight w:val="0"/>
          <w:marTop w:val="0"/>
          <w:marBottom w:val="0"/>
          <w:divBdr>
            <w:top w:val="none" w:sz="0" w:space="0" w:color="auto"/>
            <w:left w:val="none" w:sz="0" w:space="0" w:color="auto"/>
            <w:bottom w:val="none" w:sz="0" w:space="0" w:color="auto"/>
            <w:right w:val="none" w:sz="0" w:space="0" w:color="auto"/>
          </w:divBdr>
        </w:div>
        <w:div w:id="1788356046">
          <w:marLeft w:val="0"/>
          <w:marRight w:val="0"/>
          <w:marTop w:val="0"/>
          <w:marBottom w:val="0"/>
          <w:divBdr>
            <w:top w:val="none" w:sz="0" w:space="0" w:color="auto"/>
            <w:left w:val="none" w:sz="0" w:space="0" w:color="auto"/>
            <w:bottom w:val="none" w:sz="0" w:space="0" w:color="auto"/>
            <w:right w:val="none" w:sz="0" w:space="0" w:color="auto"/>
          </w:divBdr>
        </w:div>
        <w:div w:id="1447429907">
          <w:marLeft w:val="0"/>
          <w:marRight w:val="0"/>
          <w:marTop w:val="0"/>
          <w:marBottom w:val="0"/>
          <w:divBdr>
            <w:top w:val="none" w:sz="0" w:space="0" w:color="auto"/>
            <w:left w:val="none" w:sz="0" w:space="0" w:color="auto"/>
            <w:bottom w:val="none" w:sz="0" w:space="0" w:color="auto"/>
            <w:right w:val="none" w:sz="0" w:space="0" w:color="auto"/>
          </w:divBdr>
        </w:div>
        <w:div w:id="2051883380">
          <w:marLeft w:val="0"/>
          <w:marRight w:val="0"/>
          <w:marTop w:val="0"/>
          <w:marBottom w:val="0"/>
          <w:divBdr>
            <w:top w:val="none" w:sz="0" w:space="0" w:color="auto"/>
            <w:left w:val="none" w:sz="0" w:space="0" w:color="auto"/>
            <w:bottom w:val="none" w:sz="0" w:space="0" w:color="auto"/>
            <w:right w:val="none" w:sz="0" w:space="0" w:color="auto"/>
          </w:divBdr>
        </w:div>
        <w:div w:id="471365937">
          <w:marLeft w:val="0"/>
          <w:marRight w:val="0"/>
          <w:marTop w:val="0"/>
          <w:marBottom w:val="0"/>
          <w:divBdr>
            <w:top w:val="none" w:sz="0" w:space="0" w:color="auto"/>
            <w:left w:val="none" w:sz="0" w:space="0" w:color="auto"/>
            <w:bottom w:val="none" w:sz="0" w:space="0" w:color="auto"/>
            <w:right w:val="none" w:sz="0" w:space="0" w:color="auto"/>
          </w:divBdr>
        </w:div>
        <w:div w:id="19203654">
          <w:marLeft w:val="0"/>
          <w:marRight w:val="0"/>
          <w:marTop w:val="0"/>
          <w:marBottom w:val="0"/>
          <w:divBdr>
            <w:top w:val="none" w:sz="0" w:space="0" w:color="auto"/>
            <w:left w:val="none" w:sz="0" w:space="0" w:color="auto"/>
            <w:bottom w:val="none" w:sz="0" w:space="0" w:color="auto"/>
            <w:right w:val="none" w:sz="0" w:space="0" w:color="auto"/>
          </w:divBdr>
        </w:div>
        <w:div w:id="647250567">
          <w:marLeft w:val="0"/>
          <w:marRight w:val="0"/>
          <w:marTop w:val="0"/>
          <w:marBottom w:val="0"/>
          <w:divBdr>
            <w:top w:val="none" w:sz="0" w:space="0" w:color="auto"/>
            <w:left w:val="none" w:sz="0" w:space="0" w:color="auto"/>
            <w:bottom w:val="none" w:sz="0" w:space="0" w:color="auto"/>
            <w:right w:val="none" w:sz="0" w:space="0" w:color="auto"/>
          </w:divBdr>
        </w:div>
        <w:div w:id="1034774529">
          <w:marLeft w:val="0"/>
          <w:marRight w:val="0"/>
          <w:marTop w:val="0"/>
          <w:marBottom w:val="0"/>
          <w:divBdr>
            <w:top w:val="none" w:sz="0" w:space="0" w:color="auto"/>
            <w:left w:val="none" w:sz="0" w:space="0" w:color="auto"/>
            <w:bottom w:val="none" w:sz="0" w:space="0" w:color="auto"/>
            <w:right w:val="none" w:sz="0" w:space="0" w:color="auto"/>
          </w:divBdr>
        </w:div>
      </w:divsChild>
    </w:div>
    <w:div w:id="537937362">
      <w:bodyDiv w:val="1"/>
      <w:marLeft w:val="0"/>
      <w:marRight w:val="0"/>
      <w:marTop w:val="0"/>
      <w:marBottom w:val="0"/>
      <w:divBdr>
        <w:top w:val="none" w:sz="0" w:space="0" w:color="auto"/>
        <w:left w:val="none" w:sz="0" w:space="0" w:color="auto"/>
        <w:bottom w:val="none" w:sz="0" w:space="0" w:color="auto"/>
        <w:right w:val="none" w:sz="0" w:space="0" w:color="auto"/>
      </w:divBdr>
      <w:divsChild>
        <w:div w:id="1364286308">
          <w:marLeft w:val="0"/>
          <w:marRight w:val="0"/>
          <w:marTop w:val="150"/>
          <w:marBottom w:val="375"/>
          <w:divBdr>
            <w:top w:val="none" w:sz="0" w:space="0" w:color="auto"/>
            <w:left w:val="none" w:sz="0" w:space="0" w:color="auto"/>
            <w:bottom w:val="none" w:sz="0" w:space="0" w:color="auto"/>
            <w:right w:val="none" w:sz="0" w:space="0" w:color="auto"/>
          </w:divBdr>
        </w:div>
      </w:divsChild>
    </w:div>
    <w:div w:id="636109164">
      <w:bodyDiv w:val="1"/>
      <w:marLeft w:val="0"/>
      <w:marRight w:val="0"/>
      <w:marTop w:val="0"/>
      <w:marBottom w:val="0"/>
      <w:divBdr>
        <w:top w:val="none" w:sz="0" w:space="0" w:color="auto"/>
        <w:left w:val="none" w:sz="0" w:space="0" w:color="auto"/>
        <w:bottom w:val="none" w:sz="0" w:space="0" w:color="auto"/>
        <w:right w:val="none" w:sz="0" w:space="0" w:color="auto"/>
      </w:divBdr>
    </w:div>
    <w:div w:id="827750684">
      <w:bodyDiv w:val="1"/>
      <w:marLeft w:val="0"/>
      <w:marRight w:val="0"/>
      <w:marTop w:val="0"/>
      <w:marBottom w:val="0"/>
      <w:divBdr>
        <w:top w:val="none" w:sz="0" w:space="0" w:color="auto"/>
        <w:left w:val="none" w:sz="0" w:space="0" w:color="auto"/>
        <w:bottom w:val="none" w:sz="0" w:space="0" w:color="auto"/>
        <w:right w:val="none" w:sz="0" w:space="0" w:color="auto"/>
      </w:divBdr>
    </w:div>
    <w:div w:id="964045467">
      <w:bodyDiv w:val="1"/>
      <w:marLeft w:val="0"/>
      <w:marRight w:val="0"/>
      <w:marTop w:val="0"/>
      <w:marBottom w:val="0"/>
      <w:divBdr>
        <w:top w:val="none" w:sz="0" w:space="0" w:color="auto"/>
        <w:left w:val="none" w:sz="0" w:space="0" w:color="auto"/>
        <w:bottom w:val="none" w:sz="0" w:space="0" w:color="auto"/>
        <w:right w:val="none" w:sz="0" w:space="0" w:color="auto"/>
      </w:divBdr>
    </w:div>
    <w:div w:id="1089161499">
      <w:bodyDiv w:val="1"/>
      <w:marLeft w:val="0"/>
      <w:marRight w:val="0"/>
      <w:marTop w:val="0"/>
      <w:marBottom w:val="0"/>
      <w:divBdr>
        <w:top w:val="none" w:sz="0" w:space="0" w:color="auto"/>
        <w:left w:val="none" w:sz="0" w:space="0" w:color="auto"/>
        <w:bottom w:val="none" w:sz="0" w:space="0" w:color="auto"/>
        <w:right w:val="none" w:sz="0" w:space="0" w:color="auto"/>
      </w:divBdr>
    </w:div>
    <w:div w:id="1337416080">
      <w:bodyDiv w:val="1"/>
      <w:marLeft w:val="0"/>
      <w:marRight w:val="0"/>
      <w:marTop w:val="0"/>
      <w:marBottom w:val="0"/>
      <w:divBdr>
        <w:top w:val="none" w:sz="0" w:space="0" w:color="auto"/>
        <w:left w:val="none" w:sz="0" w:space="0" w:color="auto"/>
        <w:bottom w:val="none" w:sz="0" w:space="0" w:color="auto"/>
        <w:right w:val="none" w:sz="0" w:space="0" w:color="auto"/>
      </w:divBdr>
    </w:div>
    <w:div w:id="1705132369">
      <w:bodyDiv w:val="1"/>
      <w:marLeft w:val="0"/>
      <w:marRight w:val="0"/>
      <w:marTop w:val="0"/>
      <w:marBottom w:val="0"/>
      <w:divBdr>
        <w:top w:val="none" w:sz="0" w:space="0" w:color="auto"/>
        <w:left w:val="none" w:sz="0" w:space="0" w:color="auto"/>
        <w:bottom w:val="none" w:sz="0" w:space="0" w:color="auto"/>
        <w:right w:val="none" w:sz="0" w:space="0" w:color="auto"/>
      </w:divBdr>
    </w:div>
    <w:div w:id="1717658015">
      <w:bodyDiv w:val="1"/>
      <w:marLeft w:val="0"/>
      <w:marRight w:val="0"/>
      <w:marTop w:val="0"/>
      <w:marBottom w:val="0"/>
      <w:divBdr>
        <w:top w:val="none" w:sz="0" w:space="0" w:color="auto"/>
        <w:left w:val="none" w:sz="0" w:space="0" w:color="auto"/>
        <w:bottom w:val="none" w:sz="0" w:space="0" w:color="auto"/>
        <w:right w:val="none" w:sz="0" w:space="0" w:color="auto"/>
      </w:divBdr>
    </w:div>
    <w:div w:id="1743604114">
      <w:bodyDiv w:val="1"/>
      <w:marLeft w:val="0"/>
      <w:marRight w:val="0"/>
      <w:marTop w:val="0"/>
      <w:marBottom w:val="0"/>
      <w:divBdr>
        <w:top w:val="none" w:sz="0" w:space="0" w:color="auto"/>
        <w:left w:val="none" w:sz="0" w:space="0" w:color="auto"/>
        <w:bottom w:val="none" w:sz="0" w:space="0" w:color="auto"/>
        <w:right w:val="none" w:sz="0" w:space="0" w:color="auto"/>
      </w:divBdr>
      <w:divsChild>
        <w:div w:id="212469786">
          <w:marLeft w:val="0"/>
          <w:marRight w:val="0"/>
          <w:marTop w:val="0"/>
          <w:marBottom w:val="0"/>
          <w:divBdr>
            <w:top w:val="none" w:sz="0" w:space="0" w:color="auto"/>
            <w:left w:val="none" w:sz="0" w:space="0" w:color="auto"/>
            <w:bottom w:val="none" w:sz="0" w:space="0" w:color="auto"/>
            <w:right w:val="none" w:sz="0" w:space="0" w:color="auto"/>
          </w:divBdr>
          <w:divsChild>
            <w:div w:id="1810975709">
              <w:marLeft w:val="0"/>
              <w:marRight w:val="0"/>
              <w:marTop w:val="0"/>
              <w:marBottom w:val="0"/>
              <w:divBdr>
                <w:top w:val="none" w:sz="0" w:space="0" w:color="auto"/>
                <w:left w:val="none" w:sz="0" w:space="0" w:color="auto"/>
                <w:bottom w:val="none" w:sz="0" w:space="0" w:color="auto"/>
                <w:right w:val="none" w:sz="0" w:space="0" w:color="auto"/>
              </w:divBdr>
              <w:divsChild>
                <w:div w:id="1326668511">
                  <w:marLeft w:val="0"/>
                  <w:marRight w:val="0"/>
                  <w:marTop w:val="0"/>
                  <w:marBottom w:val="0"/>
                  <w:divBdr>
                    <w:top w:val="none" w:sz="0" w:space="0" w:color="auto"/>
                    <w:left w:val="none" w:sz="0" w:space="0" w:color="auto"/>
                    <w:bottom w:val="none" w:sz="0" w:space="0" w:color="auto"/>
                    <w:right w:val="none" w:sz="0" w:space="0" w:color="auto"/>
                  </w:divBdr>
                </w:div>
                <w:div w:id="804812238">
                  <w:marLeft w:val="0"/>
                  <w:marRight w:val="0"/>
                  <w:marTop w:val="0"/>
                  <w:marBottom w:val="0"/>
                  <w:divBdr>
                    <w:top w:val="none" w:sz="0" w:space="0" w:color="auto"/>
                    <w:left w:val="none" w:sz="0" w:space="0" w:color="auto"/>
                    <w:bottom w:val="none" w:sz="0" w:space="0" w:color="auto"/>
                    <w:right w:val="none" w:sz="0" w:space="0" w:color="auto"/>
                  </w:divBdr>
                </w:div>
                <w:div w:id="20863329">
                  <w:marLeft w:val="0"/>
                  <w:marRight w:val="0"/>
                  <w:marTop w:val="0"/>
                  <w:marBottom w:val="0"/>
                  <w:divBdr>
                    <w:top w:val="none" w:sz="0" w:space="0" w:color="auto"/>
                    <w:left w:val="none" w:sz="0" w:space="0" w:color="auto"/>
                    <w:bottom w:val="none" w:sz="0" w:space="0" w:color="auto"/>
                    <w:right w:val="none" w:sz="0" w:space="0" w:color="auto"/>
                  </w:divBdr>
                </w:div>
                <w:div w:id="1885212019">
                  <w:marLeft w:val="0"/>
                  <w:marRight w:val="0"/>
                  <w:marTop w:val="0"/>
                  <w:marBottom w:val="0"/>
                  <w:divBdr>
                    <w:top w:val="none" w:sz="0" w:space="0" w:color="auto"/>
                    <w:left w:val="none" w:sz="0" w:space="0" w:color="auto"/>
                    <w:bottom w:val="none" w:sz="0" w:space="0" w:color="auto"/>
                    <w:right w:val="none" w:sz="0" w:space="0" w:color="auto"/>
                  </w:divBdr>
                </w:div>
                <w:div w:id="243075130">
                  <w:marLeft w:val="0"/>
                  <w:marRight w:val="0"/>
                  <w:marTop w:val="0"/>
                  <w:marBottom w:val="0"/>
                  <w:divBdr>
                    <w:top w:val="none" w:sz="0" w:space="0" w:color="auto"/>
                    <w:left w:val="none" w:sz="0" w:space="0" w:color="auto"/>
                    <w:bottom w:val="none" w:sz="0" w:space="0" w:color="auto"/>
                    <w:right w:val="none" w:sz="0" w:space="0" w:color="auto"/>
                  </w:divBdr>
                </w:div>
                <w:div w:id="47549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07751">
      <w:bodyDiv w:val="1"/>
      <w:marLeft w:val="0"/>
      <w:marRight w:val="0"/>
      <w:marTop w:val="0"/>
      <w:marBottom w:val="0"/>
      <w:divBdr>
        <w:top w:val="none" w:sz="0" w:space="0" w:color="auto"/>
        <w:left w:val="none" w:sz="0" w:space="0" w:color="auto"/>
        <w:bottom w:val="none" w:sz="0" w:space="0" w:color="auto"/>
        <w:right w:val="none" w:sz="0" w:space="0" w:color="auto"/>
      </w:divBdr>
    </w:div>
    <w:div w:id="1957325965">
      <w:bodyDiv w:val="1"/>
      <w:marLeft w:val="0"/>
      <w:marRight w:val="0"/>
      <w:marTop w:val="0"/>
      <w:marBottom w:val="0"/>
      <w:divBdr>
        <w:top w:val="none" w:sz="0" w:space="0" w:color="auto"/>
        <w:left w:val="none" w:sz="0" w:space="0" w:color="auto"/>
        <w:bottom w:val="none" w:sz="0" w:space="0" w:color="auto"/>
        <w:right w:val="none" w:sz="0" w:space="0" w:color="auto"/>
      </w:divBdr>
    </w:div>
    <w:div w:id="2041736826">
      <w:bodyDiv w:val="1"/>
      <w:marLeft w:val="0"/>
      <w:marRight w:val="0"/>
      <w:marTop w:val="0"/>
      <w:marBottom w:val="0"/>
      <w:divBdr>
        <w:top w:val="none" w:sz="0" w:space="0" w:color="auto"/>
        <w:left w:val="none" w:sz="0" w:space="0" w:color="auto"/>
        <w:bottom w:val="none" w:sz="0" w:space="0" w:color="auto"/>
        <w:right w:val="none" w:sz="0" w:space="0" w:color="auto"/>
      </w:divBdr>
    </w:div>
    <w:div w:id="2092460893">
      <w:bodyDiv w:val="1"/>
      <w:marLeft w:val="0"/>
      <w:marRight w:val="0"/>
      <w:marTop w:val="0"/>
      <w:marBottom w:val="0"/>
      <w:divBdr>
        <w:top w:val="none" w:sz="0" w:space="0" w:color="auto"/>
        <w:left w:val="none" w:sz="0" w:space="0" w:color="auto"/>
        <w:bottom w:val="none" w:sz="0" w:space="0" w:color="auto"/>
        <w:right w:val="none" w:sz="0" w:space="0" w:color="auto"/>
      </w:divBdr>
      <w:divsChild>
        <w:div w:id="648942920">
          <w:marLeft w:val="0"/>
          <w:marRight w:val="0"/>
          <w:marTop w:val="0"/>
          <w:marBottom w:val="0"/>
          <w:divBdr>
            <w:top w:val="none" w:sz="0" w:space="0" w:color="auto"/>
            <w:left w:val="none" w:sz="0" w:space="0" w:color="auto"/>
            <w:bottom w:val="none" w:sz="0" w:space="0" w:color="auto"/>
            <w:right w:val="none" w:sz="0" w:space="0" w:color="auto"/>
          </w:divBdr>
          <w:divsChild>
            <w:div w:id="533884703">
              <w:marLeft w:val="0"/>
              <w:marRight w:val="0"/>
              <w:marTop w:val="0"/>
              <w:marBottom w:val="0"/>
              <w:divBdr>
                <w:top w:val="none" w:sz="0" w:space="0" w:color="auto"/>
                <w:left w:val="none" w:sz="0" w:space="0" w:color="auto"/>
                <w:bottom w:val="none" w:sz="0" w:space="0" w:color="auto"/>
                <w:right w:val="none" w:sz="0" w:space="0" w:color="auto"/>
              </w:divBdr>
              <w:divsChild>
                <w:div w:id="1285577299">
                  <w:marLeft w:val="0"/>
                  <w:marRight w:val="0"/>
                  <w:marTop w:val="0"/>
                  <w:marBottom w:val="0"/>
                  <w:divBdr>
                    <w:top w:val="none" w:sz="0" w:space="0" w:color="auto"/>
                    <w:left w:val="none" w:sz="0" w:space="0" w:color="auto"/>
                    <w:bottom w:val="none" w:sz="0" w:space="0" w:color="auto"/>
                    <w:right w:val="none" w:sz="0" w:space="0" w:color="auto"/>
                  </w:divBdr>
                </w:div>
                <w:div w:id="1469586331">
                  <w:marLeft w:val="0"/>
                  <w:marRight w:val="0"/>
                  <w:marTop w:val="0"/>
                  <w:marBottom w:val="0"/>
                  <w:divBdr>
                    <w:top w:val="none" w:sz="0" w:space="0" w:color="auto"/>
                    <w:left w:val="none" w:sz="0" w:space="0" w:color="auto"/>
                    <w:bottom w:val="none" w:sz="0" w:space="0" w:color="auto"/>
                    <w:right w:val="none" w:sz="0" w:space="0" w:color="auto"/>
                  </w:divBdr>
                </w:div>
                <w:div w:id="641278404">
                  <w:marLeft w:val="0"/>
                  <w:marRight w:val="0"/>
                  <w:marTop w:val="0"/>
                  <w:marBottom w:val="0"/>
                  <w:divBdr>
                    <w:top w:val="none" w:sz="0" w:space="0" w:color="auto"/>
                    <w:left w:val="none" w:sz="0" w:space="0" w:color="auto"/>
                    <w:bottom w:val="none" w:sz="0" w:space="0" w:color="auto"/>
                    <w:right w:val="none" w:sz="0" w:space="0" w:color="auto"/>
                  </w:divBdr>
                </w:div>
                <w:div w:id="1755005870">
                  <w:marLeft w:val="0"/>
                  <w:marRight w:val="0"/>
                  <w:marTop w:val="0"/>
                  <w:marBottom w:val="0"/>
                  <w:divBdr>
                    <w:top w:val="none" w:sz="0" w:space="0" w:color="auto"/>
                    <w:left w:val="none" w:sz="0" w:space="0" w:color="auto"/>
                    <w:bottom w:val="none" w:sz="0" w:space="0" w:color="auto"/>
                    <w:right w:val="none" w:sz="0" w:space="0" w:color="auto"/>
                  </w:divBdr>
                </w:div>
                <w:div w:id="407582303">
                  <w:marLeft w:val="0"/>
                  <w:marRight w:val="0"/>
                  <w:marTop w:val="0"/>
                  <w:marBottom w:val="0"/>
                  <w:divBdr>
                    <w:top w:val="none" w:sz="0" w:space="0" w:color="auto"/>
                    <w:left w:val="none" w:sz="0" w:space="0" w:color="auto"/>
                    <w:bottom w:val="none" w:sz="0" w:space="0" w:color="auto"/>
                    <w:right w:val="none" w:sz="0" w:space="0" w:color="auto"/>
                  </w:divBdr>
                </w:div>
                <w:div w:id="1795758273">
                  <w:marLeft w:val="0"/>
                  <w:marRight w:val="0"/>
                  <w:marTop w:val="0"/>
                  <w:marBottom w:val="0"/>
                  <w:divBdr>
                    <w:top w:val="none" w:sz="0" w:space="0" w:color="auto"/>
                    <w:left w:val="none" w:sz="0" w:space="0" w:color="auto"/>
                    <w:bottom w:val="none" w:sz="0" w:space="0" w:color="auto"/>
                    <w:right w:val="none" w:sz="0" w:space="0" w:color="auto"/>
                  </w:divBdr>
                </w:div>
                <w:div w:id="84818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B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08A1C-11E6-4AEB-BDE6-DC5EBFD69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1609</Words>
  <Characters>9173</Characters>
  <Application>Microsoft Office Word</Application>
  <DocSecurity>0</DocSecurity>
  <PresentationFormat>15|.DOCX</PresentationFormat>
  <Lines>76</Lines>
  <Paragraphs>21</Paragraphs>
  <ScaleCrop>false</ScaleCrop>
  <HeadingPairs>
    <vt:vector size="2" baseType="variant">
      <vt:variant>
        <vt:lpstr>Title</vt:lpstr>
      </vt:variant>
      <vt:variant>
        <vt:i4>1</vt:i4>
      </vt:variant>
    </vt:vector>
  </HeadingPairs>
  <TitlesOfParts>
    <vt:vector size="1" baseType="lpstr">
      <vt:lpstr>Client BAA - SmileSnap - 201907023 (00486006).DOCX</vt:lpstr>
    </vt:vector>
  </TitlesOfParts>
  <Company>Microsoft</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BAA - SmileSnap - 201907023 (00486006).DOCX</dc:title>
  <dc:subject>00486006.DOCX / 1 /font=8</dc:subject>
  <dc:creator>vmascarenas</dc:creator>
  <cp:lastModifiedBy>charlie gugliuzza</cp:lastModifiedBy>
  <cp:revision>7</cp:revision>
  <cp:lastPrinted>2019-07-24T15:25:00Z</cp:lastPrinted>
  <dcterms:created xsi:type="dcterms:W3CDTF">2021-03-22T21:04:00Z</dcterms:created>
  <dcterms:modified xsi:type="dcterms:W3CDTF">2021-03-22T21:14:00Z</dcterms:modified>
</cp:coreProperties>
</file>